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068" w:rsidRPr="00CA0068" w:rsidRDefault="004F54EE" w:rsidP="00CA0068">
      <w:pPr>
        <w:pStyle w:val="Heading3"/>
        <w:spacing w:beforeLines="100"/>
        <w:jc w:val="center"/>
        <w:rPr>
          <w:rFonts w:ascii="標楷體" w:eastAsia="標楷體" w:hAnsi="標楷體" w:hint="eastAsia"/>
          <w:color w:val="000000" w:themeColor="text1"/>
          <w:sz w:val="24"/>
          <w:szCs w:val="24"/>
          <w:lang w:eastAsia="zh-TW"/>
        </w:rPr>
      </w:pPr>
      <w:r w:rsidRPr="009A5A9E">
        <w:rPr>
          <w:rFonts w:ascii="標楷體" w:eastAsia="標楷體" w:hAnsi="標楷體" w:cs="新細明體" w:hint="eastAsia"/>
          <w:color w:val="000000" w:themeColor="text1"/>
          <w:sz w:val="36"/>
          <w:szCs w:val="24"/>
          <w:lang w:eastAsia="zh-TW"/>
        </w:rPr>
        <w:t>淺談</w:t>
      </w:r>
      <w:r w:rsidR="00BE5895" w:rsidRPr="009A5A9E">
        <w:rPr>
          <w:rFonts w:ascii="標楷體" w:eastAsia="標楷體" w:hAnsi="標楷體" w:cs="新細明體" w:hint="eastAsia"/>
          <w:color w:val="000000" w:themeColor="text1"/>
          <w:sz w:val="36"/>
          <w:szCs w:val="24"/>
          <w:lang w:eastAsia="zh-TW"/>
        </w:rPr>
        <w:t>「</w:t>
      </w:r>
      <w:r w:rsidR="00CC03E8" w:rsidRPr="009A5A9E">
        <w:rPr>
          <w:rFonts w:ascii="標楷體" w:eastAsia="標楷體" w:hAnsi="標楷體" w:hint="eastAsia"/>
          <w:color w:val="000000" w:themeColor="text1"/>
          <w:sz w:val="36"/>
          <w:szCs w:val="24"/>
          <w:lang w:eastAsia="zh-TW"/>
        </w:rPr>
        <w:t>TTQS</w:t>
      </w:r>
      <w:r w:rsidR="005C10A7" w:rsidRPr="009A5A9E">
        <w:rPr>
          <w:rFonts w:ascii="標楷體" w:eastAsia="標楷體" w:hAnsi="標楷體" w:cs="新細明體" w:hint="eastAsia"/>
          <w:color w:val="000000" w:themeColor="text1"/>
          <w:sz w:val="36"/>
          <w:szCs w:val="24"/>
          <w:lang w:eastAsia="zh-TW"/>
        </w:rPr>
        <w:t>評核委員</w:t>
      </w:r>
      <w:r w:rsidR="005C10A7" w:rsidRPr="009A5A9E">
        <w:rPr>
          <w:rFonts w:ascii="標楷體" w:eastAsia="標楷體" w:hAnsi="標楷體" w:cs="新細明體" w:hint="eastAsia"/>
          <w:color w:val="000000" w:themeColor="text1"/>
          <w:sz w:val="36"/>
          <w:szCs w:val="24"/>
          <w:shd w:val="clear" w:color="auto" w:fill="FFFFFF"/>
          <w:lang w:eastAsia="zh-TW"/>
        </w:rPr>
        <w:t>人格特質與評核行為之關係</w:t>
      </w:r>
      <w:r w:rsidR="00BA184C" w:rsidRPr="009A5A9E">
        <w:rPr>
          <w:rFonts w:ascii="標楷體" w:eastAsia="標楷體" w:hAnsi="標楷體" w:hint="eastAsia"/>
          <w:color w:val="000000" w:themeColor="text1"/>
          <w:sz w:val="36"/>
          <w:szCs w:val="24"/>
          <w:shd w:val="clear" w:color="auto" w:fill="FFFFFF"/>
          <w:lang w:eastAsia="zh-TW"/>
        </w:rPr>
        <w:t xml:space="preserve"> </w:t>
      </w:r>
      <w:r w:rsidR="00BE5895" w:rsidRPr="009A5A9E">
        <w:rPr>
          <w:rFonts w:ascii="標楷體" w:eastAsia="標楷體" w:hAnsi="標楷體" w:cs="新細明體" w:hint="eastAsia"/>
          <w:color w:val="000000" w:themeColor="text1"/>
          <w:sz w:val="36"/>
          <w:szCs w:val="24"/>
          <w:shd w:val="clear" w:color="auto" w:fill="FFFFFF"/>
          <w:lang w:eastAsia="zh-TW"/>
        </w:rPr>
        <w:t>」</w:t>
      </w:r>
      <w:r w:rsidR="00BA184C" w:rsidRPr="009A5A9E">
        <w:rPr>
          <w:rFonts w:ascii="標楷體" w:eastAsia="標楷體" w:hAnsi="標楷體" w:hint="eastAsia"/>
          <w:color w:val="000000" w:themeColor="text1"/>
          <w:sz w:val="36"/>
          <w:szCs w:val="24"/>
          <w:shd w:val="clear" w:color="auto" w:fill="FFFFFF"/>
          <w:lang w:eastAsia="zh-TW"/>
        </w:rPr>
        <w:t xml:space="preserve">  </w:t>
      </w:r>
      <w:r w:rsidR="00BA184C" w:rsidRPr="006423CA">
        <w:rPr>
          <w:rFonts w:ascii="標楷體" w:eastAsia="標楷體" w:hAnsi="標楷體" w:hint="eastAsia"/>
          <w:color w:val="000000" w:themeColor="text1"/>
          <w:szCs w:val="24"/>
          <w:shd w:val="clear" w:color="auto" w:fill="FFFFFF"/>
          <w:lang w:eastAsia="zh-TW"/>
        </w:rPr>
        <w:t xml:space="preserve">  </w:t>
      </w:r>
      <w:r w:rsidR="00BA184C" w:rsidRPr="006423CA">
        <w:rPr>
          <w:rFonts w:ascii="標楷體" w:eastAsia="標楷體" w:hAnsi="標楷體" w:hint="eastAsia"/>
          <w:color w:val="000000" w:themeColor="text1"/>
          <w:sz w:val="24"/>
          <w:szCs w:val="24"/>
          <w:shd w:val="clear" w:color="auto" w:fill="FFFFFF"/>
          <w:lang w:eastAsia="zh-TW"/>
        </w:rPr>
        <w:t xml:space="preserve">                                                                                                                                                                                                                                                                                                                                                                                                                                                                                                                                                                                                                                            </w:t>
      </w:r>
      <w:r w:rsidR="00CC03E8" w:rsidRPr="006423CA">
        <w:rPr>
          <w:rFonts w:ascii="標楷體" w:eastAsia="標楷體" w:hAnsi="標楷體" w:hint="eastAsia"/>
          <w:color w:val="000000" w:themeColor="text1"/>
          <w:sz w:val="24"/>
          <w:szCs w:val="24"/>
          <w:lang w:eastAsia="zh-TW"/>
        </w:rPr>
        <w:t xml:space="preserve">                                               </w:t>
      </w:r>
    </w:p>
    <w:p w:rsidR="00CC03E8" w:rsidRDefault="0092317C" w:rsidP="00CA0068">
      <w:pPr>
        <w:pStyle w:val="Heading3"/>
        <w:spacing w:beforeLines="100"/>
        <w:jc w:val="center"/>
        <w:rPr>
          <w:rFonts w:ascii="標楷體" w:eastAsia="標楷體" w:hAnsi="標楷體" w:cs="新細明體" w:hint="eastAsia"/>
          <w:color w:val="000000" w:themeColor="text1"/>
          <w:sz w:val="24"/>
          <w:szCs w:val="24"/>
          <w:lang w:eastAsia="zh-TW"/>
        </w:rPr>
      </w:pPr>
      <w:r w:rsidRPr="006423CA">
        <w:rPr>
          <w:rFonts w:ascii="標楷體" w:eastAsia="標楷體" w:hAnsi="標楷體" w:cs="新細明體" w:hint="eastAsia"/>
          <w:color w:val="000000" w:themeColor="text1"/>
          <w:sz w:val="24"/>
          <w:szCs w:val="24"/>
          <w:lang w:eastAsia="zh-TW"/>
        </w:rPr>
        <w:t>評核委員</w:t>
      </w:r>
      <w:r w:rsidR="00D82616">
        <w:rPr>
          <w:rFonts w:ascii="標楷體" w:eastAsia="標楷體" w:hAnsi="標楷體" w:cs="新細明體" w:hint="eastAsia"/>
          <w:color w:val="000000" w:themeColor="text1"/>
          <w:sz w:val="24"/>
          <w:szCs w:val="24"/>
          <w:lang w:eastAsia="zh-TW"/>
        </w:rPr>
        <w:t xml:space="preserve">　</w:t>
      </w:r>
      <w:r w:rsidR="005C10A7" w:rsidRPr="006423CA">
        <w:rPr>
          <w:rFonts w:ascii="標楷體" w:eastAsia="標楷體" w:hAnsi="標楷體" w:cs="新細明體" w:hint="eastAsia"/>
          <w:color w:val="000000" w:themeColor="text1"/>
          <w:sz w:val="24"/>
          <w:szCs w:val="24"/>
          <w:lang w:eastAsia="zh-TW"/>
        </w:rPr>
        <w:t>徐世欣</w:t>
      </w:r>
    </w:p>
    <w:p w:rsidR="009A5A9E" w:rsidRDefault="009A5A9E" w:rsidP="006423CA">
      <w:pPr>
        <w:pStyle w:val="Heading3"/>
        <w:jc w:val="center"/>
        <w:rPr>
          <w:rFonts w:ascii="標楷體" w:eastAsia="標楷體" w:hAnsi="標楷體" w:hint="eastAsia"/>
          <w:color w:val="000000" w:themeColor="text1"/>
          <w:sz w:val="24"/>
          <w:szCs w:val="24"/>
          <w:lang w:eastAsia="zh-TW"/>
        </w:rPr>
      </w:pPr>
    </w:p>
    <w:p w:rsidR="00CA0068" w:rsidRPr="006423CA" w:rsidRDefault="00CA0068" w:rsidP="006423CA">
      <w:pPr>
        <w:pStyle w:val="Heading3"/>
        <w:jc w:val="center"/>
        <w:rPr>
          <w:rFonts w:ascii="標楷體" w:eastAsia="標楷體" w:hAnsi="標楷體"/>
          <w:color w:val="000000" w:themeColor="text1"/>
          <w:sz w:val="24"/>
          <w:szCs w:val="24"/>
          <w:lang w:eastAsia="zh-TW"/>
        </w:rPr>
      </w:pPr>
    </w:p>
    <w:p w:rsidR="00CC03E8" w:rsidRPr="009A5A9E" w:rsidRDefault="00720C9D" w:rsidP="009A5A9E">
      <w:pPr>
        <w:pStyle w:val="ab"/>
        <w:numPr>
          <w:ilvl w:val="0"/>
          <w:numId w:val="3"/>
        </w:numPr>
        <w:rPr>
          <w:rFonts w:ascii="標楷體" w:eastAsia="標楷體" w:hAnsi="標楷體"/>
          <w:b/>
          <w:color w:val="000000" w:themeColor="text1"/>
          <w:sz w:val="28"/>
          <w:szCs w:val="24"/>
        </w:rPr>
      </w:pPr>
      <w:proofErr w:type="spellStart"/>
      <w:r w:rsidRPr="009A5A9E">
        <w:rPr>
          <w:rFonts w:ascii="標楷體" w:eastAsia="標楷體" w:hAnsi="標楷體" w:hint="eastAsia"/>
          <w:b/>
          <w:color w:val="000000" w:themeColor="text1"/>
          <w:sz w:val="28"/>
          <w:szCs w:val="24"/>
        </w:rPr>
        <w:t>前言</w:t>
      </w:r>
      <w:proofErr w:type="spellEnd"/>
    </w:p>
    <w:p w:rsidR="00971885" w:rsidRDefault="00135205" w:rsidP="00FF1745">
      <w:pPr>
        <w:widowControl/>
        <w:spacing w:beforeLines="50" w:afterLines="50" w:line="293" w:lineRule="atLeast"/>
        <w:ind w:firstLineChars="200" w:firstLine="480"/>
        <w:rPr>
          <w:rFonts w:ascii="標楷體" w:eastAsia="標楷體" w:hAnsi="標楷體" w:hint="eastAsia"/>
          <w:color w:val="000000" w:themeColor="text1"/>
          <w:szCs w:val="24"/>
        </w:rPr>
      </w:pPr>
      <w:r w:rsidRPr="00971885">
        <w:rPr>
          <w:rFonts w:ascii="標楷體" w:eastAsia="標楷體" w:hAnsi="標楷體" w:hint="eastAsia"/>
          <w:color w:val="000000" w:themeColor="text1"/>
          <w:szCs w:val="24"/>
        </w:rPr>
        <w:t>處在</w:t>
      </w:r>
      <w:r w:rsidR="00591AB5" w:rsidRPr="00971885">
        <w:rPr>
          <w:rFonts w:ascii="標楷體" w:eastAsia="標楷體" w:hAnsi="標楷體" w:hint="eastAsia"/>
          <w:color w:val="000000" w:themeColor="text1"/>
          <w:szCs w:val="24"/>
        </w:rPr>
        <w:t>全球高度</w:t>
      </w:r>
      <w:r w:rsidRPr="00971885">
        <w:rPr>
          <w:rFonts w:ascii="標楷體" w:eastAsia="標楷體" w:hAnsi="標楷體" w:hint="eastAsia"/>
          <w:color w:val="000000" w:themeColor="text1"/>
          <w:szCs w:val="24"/>
        </w:rPr>
        <w:t>競爭</w:t>
      </w:r>
      <w:r w:rsidRPr="00971885">
        <w:rPr>
          <w:rFonts w:ascii="標楷體" w:eastAsia="標楷體" w:hAnsi="標楷體"/>
          <w:color w:val="000000" w:themeColor="text1"/>
          <w:szCs w:val="24"/>
        </w:rPr>
        <w:t>的</w:t>
      </w:r>
      <w:r w:rsidRPr="00971885">
        <w:rPr>
          <w:rFonts w:ascii="標楷體" w:eastAsia="標楷體" w:hAnsi="標楷體" w:hint="eastAsia"/>
          <w:color w:val="000000" w:themeColor="text1"/>
          <w:szCs w:val="24"/>
        </w:rPr>
        <w:t>時代</w:t>
      </w:r>
      <w:r w:rsidRPr="00971885">
        <w:rPr>
          <w:rFonts w:ascii="標楷體" w:eastAsia="標楷體" w:hAnsi="標楷體"/>
          <w:color w:val="000000" w:themeColor="text1"/>
          <w:kern w:val="0"/>
          <w:szCs w:val="24"/>
        </w:rPr>
        <w:t>，</w:t>
      </w:r>
      <w:r w:rsidRPr="00971885">
        <w:rPr>
          <w:rFonts w:ascii="標楷體" w:eastAsia="標楷體" w:hAnsi="標楷體"/>
          <w:color w:val="000000" w:themeColor="text1"/>
          <w:szCs w:val="24"/>
        </w:rPr>
        <w:t>人才</w:t>
      </w:r>
      <w:r w:rsidRPr="00971885">
        <w:rPr>
          <w:rFonts w:ascii="標楷體" w:eastAsia="標楷體" w:hAnsi="標楷體" w:hint="eastAsia"/>
          <w:color w:val="000000" w:themeColor="text1"/>
          <w:szCs w:val="24"/>
        </w:rPr>
        <w:t>之良窳攸關整體的</w:t>
      </w:r>
      <w:r w:rsidRPr="00971885">
        <w:rPr>
          <w:rFonts w:ascii="標楷體" w:eastAsia="標楷體" w:hAnsi="標楷體"/>
          <w:color w:val="000000" w:themeColor="text1"/>
          <w:kern w:val="0"/>
          <w:szCs w:val="24"/>
        </w:rPr>
        <w:t>勞動生產力與國家競爭力，</w:t>
      </w:r>
      <w:r w:rsidRPr="00971885">
        <w:rPr>
          <w:rFonts w:ascii="標楷體" w:eastAsia="標楷體" w:hAnsi="標楷體" w:hint="eastAsia"/>
          <w:color w:val="000000" w:themeColor="text1"/>
          <w:kern w:val="0"/>
          <w:szCs w:val="24"/>
        </w:rPr>
        <w:t>因此提升</w:t>
      </w:r>
      <w:r w:rsidRPr="00971885">
        <w:rPr>
          <w:rFonts w:ascii="標楷體" w:eastAsia="標楷體" w:hAnsi="標楷體"/>
          <w:color w:val="000000" w:themeColor="text1"/>
          <w:szCs w:val="24"/>
        </w:rPr>
        <w:t>人力 資源素質</w:t>
      </w:r>
      <w:r w:rsidRPr="00971885">
        <w:rPr>
          <w:rFonts w:ascii="標楷體" w:eastAsia="標楷體" w:hAnsi="標楷體"/>
          <w:color w:val="000000" w:themeColor="text1"/>
          <w:kern w:val="0"/>
          <w:szCs w:val="24"/>
        </w:rPr>
        <w:t>，</w:t>
      </w:r>
      <w:r w:rsidRPr="00971885">
        <w:rPr>
          <w:rFonts w:ascii="標楷體" w:eastAsia="標楷體" w:hAnsi="標楷體"/>
          <w:color w:val="000000" w:themeColor="text1"/>
          <w:szCs w:val="24"/>
        </w:rPr>
        <w:t>培育系統化的人才</w:t>
      </w:r>
      <w:r w:rsidRPr="00971885">
        <w:rPr>
          <w:rFonts w:ascii="標楷體" w:eastAsia="標楷體" w:hAnsi="標楷體" w:hint="eastAsia"/>
          <w:color w:val="000000" w:themeColor="text1"/>
          <w:szCs w:val="24"/>
        </w:rPr>
        <w:t>是當今</w:t>
      </w:r>
      <w:r w:rsidRPr="00971885">
        <w:rPr>
          <w:rFonts w:ascii="標楷體" w:eastAsia="標楷體" w:hAnsi="標楷體"/>
          <w:color w:val="000000" w:themeColor="text1"/>
          <w:szCs w:val="24"/>
        </w:rPr>
        <w:t>政府與企業刻不容緩的課題。勞動部勞動力發展署為提昇國內各單位辦訓品質，</w:t>
      </w:r>
      <w:r w:rsidRPr="00971885">
        <w:rPr>
          <w:rFonts w:ascii="標楷體" w:eastAsia="標楷體" w:hAnsi="標楷體" w:hint="eastAsia"/>
          <w:color w:val="000000" w:themeColor="text1"/>
          <w:szCs w:val="24"/>
        </w:rPr>
        <w:t>乃</w:t>
      </w:r>
      <w:r w:rsidRPr="00971885">
        <w:rPr>
          <w:rFonts w:ascii="標楷體" w:eastAsia="標楷體" w:hAnsi="標楷體"/>
          <w:color w:val="000000" w:themeColor="text1"/>
          <w:szCs w:val="24"/>
        </w:rPr>
        <w:t>自 94 年 起 參 酌「ISO9000」系列之人力資源發展指引 「ISO10015」、英國人力資本投資促進方案（Investors in People, IIP），並加入國際間 對於訓練成果之重視與高階人員參與之要求，特規劃制定適合我國辦訓環境之訓練品質評核系統 (</w:t>
      </w:r>
      <w:r w:rsidRPr="00971885">
        <w:rPr>
          <w:rFonts w:ascii="標楷體" w:eastAsia="標楷體" w:hAnsi="標楷體" w:hint="eastAsia"/>
          <w:color w:val="000000" w:themeColor="text1"/>
          <w:szCs w:val="24"/>
        </w:rPr>
        <w:t xml:space="preserve">Taiwan </w:t>
      </w:r>
      <w:proofErr w:type="spellStart"/>
      <w:r w:rsidRPr="00971885">
        <w:rPr>
          <w:rFonts w:ascii="標楷體" w:eastAsia="標楷體" w:hAnsi="標楷體" w:hint="eastAsia"/>
          <w:color w:val="000000" w:themeColor="text1"/>
          <w:szCs w:val="24"/>
        </w:rPr>
        <w:t>TrainQuali</w:t>
      </w:r>
      <w:proofErr w:type="spellEnd"/>
      <w:r w:rsidRPr="00971885">
        <w:rPr>
          <w:rFonts w:ascii="標楷體" w:eastAsia="標楷體" w:hAnsi="標楷體" w:hint="eastAsia"/>
          <w:color w:val="000000" w:themeColor="text1"/>
          <w:szCs w:val="24"/>
        </w:rPr>
        <w:t xml:space="preserve"> System</w:t>
      </w:r>
      <w:r w:rsidRPr="00971885">
        <w:rPr>
          <w:rFonts w:ascii="標楷體" w:eastAsia="標楷體" w:hAnsi="標楷體"/>
          <w:color w:val="000000" w:themeColor="text1"/>
          <w:szCs w:val="24"/>
        </w:rPr>
        <w:t xml:space="preserve"> </w:t>
      </w:r>
      <w:r w:rsidRPr="00971885">
        <w:rPr>
          <w:rFonts w:ascii="標楷體" w:eastAsia="標楷體" w:hAnsi="標楷體" w:hint="eastAsia"/>
          <w:color w:val="000000" w:themeColor="text1"/>
          <w:szCs w:val="24"/>
        </w:rPr>
        <w:t>,</w:t>
      </w:r>
      <w:r w:rsidRPr="00971885">
        <w:rPr>
          <w:rFonts w:ascii="標楷體" w:eastAsia="標楷體" w:hAnsi="標楷體"/>
          <w:color w:val="000000" w:themeColor="text1"/>
          <w:szCs w:val="24"/>
        </w:rPr>
        <w:t>TTQS)，作為檢視各單位訓練體系、訓練計畫執行品質及訓練績效之評核與管理工具，並於 96 年開始推動。其後為促使 TTQS 能與國際同步，並結合政府職能基準政策，於 103 年更名為「人才發展品質管理系統」</w:t>
      </w:r>
      <w:r w:rsidRPr="00971885">
        <w:rPr>
          <w:rFonts w:ascii="標楷體" w:eastAsia="標楷體" w:hAnsi="標楷體"/>
          <w:color w:val="000000" w:themeColor="text1"/>
          <w:kern w:val="0"/>
          <w:szCs w:val="24"/>
        </w:rPr>
        <w:t>（Talent Quality-management System，TTQS）</w:t>
      </w:r>
      <w:r w:rsidRPr="00971885">
        <w:rPr>
          <w:rFonts w:ascii="標楷體" w:eastAsia="標楷體" w:hAnsi="標楷體"/>
          <w:color w:val="000000" w:themeColor="text1"/>
          <w:szCs w:val="24"/>
        </w:rPr>
        <w:t>。</w:t>
      </w:r>
    </w:p>
    <w:p w:rsidR="00135205" w:rsidRPr="00971885" w:rsidRDefault="00135205" w:rsidP="00FF1745">
      <w:pPr>
        <w:widowControl/>
        <w:spacing w:beforeLines="50" w:afterLines="50" w:line="293" w:lineRule="atLeast"/>
        <w:ind w:firstLineChars="200" w:firstLine="480"/>
        <w:rPr>
          <w:rFonts w:ascii="標楷體" w:eastAsia="標楷體" w:hAnsi="標楷體"/>
          <w:color w:val="000000" w:themeColor="text1"/>
          <w:szCs w:val="24"/>
        </w:rPr>
      </w:pPr>
      <w:r w:rsidRPr="00971885">
        <w:rPr>
          <w:rFonts w:ascii="標楷體" w:eastAsia="標楷體" w:hAnsi="標楷體"/>
          <w:color w:val="000000" w:themeColor="text1"/>
          <w:szCs w:val="24"/>
        </w:rPr>
        <w:t>TTQS 自 96 年推動</w:t>
      </w:r>
      <w:r w:rsidRPr="00971885">
        <w:rPr>
          <w:rFonts w:ascii="標楷體" w:eastAsia="標楷體" w:hAnsi="標楷體" w:hint="eastAsia"/>
          <w:color w:val="000000" w:themeColor="text1"/>
          <w:szCs w:val="24"/>
        </w:rPr>
        <w:t>至今已經8年</w:t>
      </w:r>
      <w:r w:rsidRPr="00971885">
        <w:rPr>
          <w:rFonts w:ascii="標楷體" w:eastAsia="標楷體" w:hAnsi="標楷體"/>
          <w:color w:val="000000" w:themeColor="text1"/>
          <w:szCs w:val="24"/>
        </w:rPr>
        <w:t>，</w:t>
      </w:r>
      <w:r w:rsidRPr="00971885">
        <w:rPr>
          <w:rFonts w:ascii="標楷體" w:eastAsia="標楷體" w:hAnsi="標楷體" w:hint="eastAsia"/>
          <w:color w:val="000000" w:themeColor="text1"/>
          <w:szCs w:val="24"/>
        </w:rPr>
        <w:t>此期間本著精益求精、持續改善的精神</w:t>
      </w:r>
      <w:r w:rsidRPr="00971885">
        <w:rPr>
          <w:rFonts w:ascii="標楷體" w:eastAsia="標楷體" w:hAnsi="標楷體"/>
          <w:color w:val="000000" w:themeColor="text1"/>
          <w:szCs w:val="24"/>
        </w:rPr>
        <w:t>，</w:t>
      </w:r>
      <w:r w:rsidRPr="00971885">
        <w:rPr>
          <w:rFonts w:ascii="標楷體" w:eastAsia="標楷體" w:hAnsi="標楷體" w:hint="eastAsia"/>
          <w:color w:val="000000" w:themeColor="text1"/>
          <w:szCs w:val="24"/>
        </w:rPr>
        <w:t>除了</w:t>
      </w:r>
      <w:r w:rsidRPr="00971885">
        <w:rPr>
          <w:rFonts w:ascii="標楷體" w:eastAsia="標楷體" w:hAnsi="標楷體" w:hint="eastAsia"/>
          <w:color w:val="000000" w:themeColor="text1"/>
          <w:kern w:val="0"/>
          <w:szCs w:val="24"/>
        </w:rPr>
        <w:t>曾於101</w:t>
      </w:r>
      <w:r w:rsidRPr="00971885">
        <w:rPr>
          <w:rFonts w:ascii="標楷體" w:eastAsia="標楷體" w:hAnsi="標楷體"/>
          <w:color w:val="000000" w:themeColor="text1"/>
          <w:kern w:val="0"/>
          <w:szCs w:val="24"/>
        </w:rPr>
        <w:t>年更改評核指標</w:t>
      </w:r>
      <w:r w:rsidRPr="00971885">
        <w:rPr>
          <w:rFonts w:ascii="標楷體" w:eastAsia="標楷體" w:hAnsi="標楷體" w:hint="eastAsia"/>
          <w:color w:val="000000" w:themeColor="text1"/>
          <w:kern w:val="0"/>
          <w:szCs w:val="24"/>
        </w:rPr>
        <w:t>外</w:t>
      </w:r>
      <w:r w:rsidRPr="00971885">
        <w:rPr>
          <w:rFonts w:ascii="標楷體" w:eastAsia="標楷體" w:hAnsi="標楷體"/>
          <w:color w:val="000000" w:themeColor="text1"/>
          <w:szCs w:val="24"/>
        </w:rPr>
        <w:t>，</w:t>
      </w:r>
      <w:r w:rsidRPr="00971885">
        <w:rPr>
          <w:rFonts w:ascii="標楷體" w:eastAsia="標楷體" w:hAnsi="標楷體" w:hint="eastAsia"/>
          <w:color w:val="000000" w:themeColor="text1"/>
          <w:szCs w:val="24"/>
        </w:rPr>
        <w:t>並</w:t>
      </w:r>
      <w:r w:rsidRPr="00971885">
        <w:rPr>
          <w:rFonts w:ascii="標楷體" w:eastAsia="標楷體" w:hAnsi="標楷體"/>
          <w:color w:val="000000" w:themeColor="text1"/>
          <w:szCs w:val="24"/>
        </w:rPr>
        <w:t xml:space="preserve">針對TTQS </w:t>
      </w:r>
      <w:r w:rsidR="00040151" w:rsidRPr="00971885">
        <w:rPr>
          <w:rFonts w:ascii="標楷體" w:eastAsia="標楷體" w:hAnsi="標楷體" w:hint="eastAsia"/>
          <w:color w:val="000000" w:themeColor="text1"/>
          <w:szCs w:val="24"/>
        </w:rPr>
        <w:t>三</w:t>
      </w:r>
      <w:r w:rsidRPr="00971885">
        <w:rPr>
          <w:rFonts w:ascii="標楷體" w:eastAsia="標楷體" w:hAnsi="標楷體"/>
          <w:color w:val="000000" w:themeColor="text1"/>
          <w:szCs w:val="24"/>
        </w:rPr>
        <w:t>類專業人員（TTQS 委員、顧問與教育訓練講師）招募遴選機制</w:t>
      </w:r>
      <w:r w:rsidRPr="00971885">
        <w:rPr>
          <w:rFonts w:ascii="標楷體" w:eastAsia="標楷體" w:hAnsi="標楷體" w:hint="eastAsia"/>
          <w:color w:val="000000" w:themeColor="text1"/>
          <w:szCs w:val="24"/>
        </w:rPr>
        <w:t>不斷改善</w:t>
      </w:r>
      <w:r w:rsidRPr="00971885">
        <w:rPr>
          <w:rFonts w:ascii="標楷體" w:eastAsia="標楷體" w:hAnsi="標楷體"/>
          <w:color w:val="000000" w:themeColor="text1"/>
          <w:szCs w:val="24"/>
        </w:rPr>
        <w:t>（資格審查、</w:t>
      </w:r>
      <w:r w:rsidRPr="00971885">
        <w:rPr>
          <w:rFonts w:ascii="標楷體" w:eastAsia="標楷體" w:hAnsi="標楷體" w:hint="eastAsia"/>
          <w:color w:val="000000" w:themeColor="text1"/>
          <w:szCs w:val="24"/>
        </w:rPr>
        <w:t>如</w:t>
      </w:r>
      <w:r w:rsidRPr="00971885">
        <w:rPr>
          <w:rFonts w:ascii="標楷體" w:eastAsia="標楷體" w:hAnsi="標楷體"/>
          <w:color w:val="000000" w:themeColor="text1"/>
          <w:szCs w:val="24"/>
        </w:rPr>
        <w:t>研習課 程、實務演練與兩階段測驗及實習），</w:t>
      </w:r>
      <w:r w:rsidRPr="00971885">
        <w:rPr>
          <w:rFonts w:ascii="標楷體" w:eastAsia="標楷體" w:hAnsi="標楷體" w:hint="eastAsia"/>
          <w:color w:val="000000" w:themeColor="text1"/>
          <w:szCs w:val="24"/>
        </w:rPr>
        <w:t>以</w:t>
      </w:r>
      <w:r w:rsidRPr="00971885">
        <w:rPr>
          <w:rFonts w:ascii="標楷體" w:eastAsia="標楷體" w:hAnsi="標楷體"/>
          <w:color w:val="000000" w:themeColor="text1"/>
          <w:szCs w:val="24"/>
        </w:rPr>
        <w:t>遴選出</w:t>
      </w:r>
      <w:r w:rsidRPr="00971885">
        <w:rPr>
          <w:rFonts w:ascii="標楷體" w:eastAsia="標楷體" w:hAnsi="標楷體" w:hint="eastAsia"/>
          <w:color w:val="000000" w:themeColor="text1"/>
          <w:szCs w:val="24"/>
        </w:rPr>
        <w:t>更</w:t>
      </w:r>
      <w:r w:rsidRPr="00971885">
        <w:rPr>
          <w:rFonts w:ascii="標楷體" w:eastAsia="標楷體" w:hAnsi="標楷體"/>
          <w:color w:val="000000" w:themeColor="text1"/>
          <w:szCs w:val="24"/>
        </w:rPr>
        <w:t>合</w:t>
      </w:r>
      <w:r w:rsidRPr="00971885">
        <w:rPr>
          <w:rFonts w:ascii="標楷體" w:eastAsia="標楷體" w:hAnsi="標楷體" w:hint="eastAsia"/>
          <w:color w:val="000000" w:themeColor="text1"/>
          <w:szCs w:val="24"/>
        </w:rPr>
        <w:t>適</w:t>
      </w:r>
      <w:r w:rsidRPr="00971885">
        <w:rPr>
          <w:rFonts w:ascii="標楷體" w:eastAsia="標楷體" w:hAnsi="標楷體"/>
          <w:color w:val="000000" w:themeColor="text1"/>
          <w:szCs w:val="24"/>
        </w:rPr>
        <w:t>的專業人員。對於已具備資格之 TTQS</w:t>
      </w:r>
      <w:r w:rsidR="00040151" w:rsidRPr="00971885">
        <w:rPr>
          <w:rFonts w:ascii="標楷體" w:eastAsia="標楷體" w:hAnsi="標楷體" w:hint="eastAsia"/>
          <w:color w:val="000000" w:themeColor="text1"/>
          <w:szCs w:val="24"/>
        </w:rPr>
        <w:t>三</w:t>
      </w:r>
      <w:r w:rsidRPr="00971885">
        <w:rPr>
          <w:rFonts w:ascii="標楷體" w:eastAsia="標楷體" w:hAnsi="標楷體"/>
          <w:color w:val="000000" w:themeColor="text1"/>
          <w:szCs w:val="24"/>
        </w:rPr>
        <w:t xml:space="preserve"> 類專業人員，</w:t>
      </w:r>
      <w:r w:rsidR="0092317C" w:rsidRPr="00971885">
        <w:rPr>
          <w:rFonts w:ascii="標楷體" w:eastAsia="標楷體" w:hAnsi="標楷體"/>
          <w:color w:val="000000" w:themeColor="text1"/>
          <w:szCs w:val="24"/>
        </w:rPr>
        <w:t>每年</w:t>
      </w:r>
      <w:r w:rsidRPr="00971885">
        <w:rPr>
          <w:rFonts w:ascii="標楷體" w:eastAsia="標楷體" w:hAnsi="標楷體"/>
          <w:color w:val="000000" w:themeColor="text1"/>
          <w:szCs w:val="24"/>
        </w:rPr>
        <w:t>辦理共識會議、回流 訓練、校準研習等活動，建立評核與輔導共識，</w:t>
      </w:r>
      <w:r w:rsidRPr="00971885">
        <w:rPr>
          <w:rFonts w:ascii="標楷體" w:eastAsia="標楷體" w:hAnsi="標楷體" w:hint="eastAsia"/>
          <w:color w:val="000000" w:themeColor="text1"/>
          <w:szCs w:val="24"/>
        </w:rPr>
        <w:t>以</w:t>
      </w:r>
      <w:r w:rsidRPr="00971885">
        <w:rPr>
          <w:rFonts w:ascii="標楷體" w:eastAsia="標楷體" w:hAnsi="標楷體"/>
          <w:color w:val="000000" w:themeColor="text1"/>
          <w:szCs w:val="24"/>
        </w:rPr>
        <w:t>縮短落差。另訂定相關作業標準規範（SOP），要求專業人員應遵循作業流程、倫理規範，並進行滿意度調查，提升專業人員服務品質，透過管理辦法規範</w:t>
      </w:r>
      <w:r w:rsidR="00040151" w:rsidRPr="00971885">
        <w:rPr>
          <w:rFonts w:ascii="標楷體" w:eastAsia="標楷體" w:hAnsi="標楷體" w:hint="eastAsia"/>
          <w:color w:val="000000" w:themeColor="text1"/>
          <w:szCs w:val="24"/>
        </w:rPr>
        <w:t>三</w:t>
      </w:r>
      <w:r w:rsidRPr="00971885">
        <w:rPr>
          <w:rFonts w:ascii="標楷體" w:eastAsia="標楷體" w:hAnsi="標楷體"/>
          <w:color w:val="000000" w:themeColor="text1"/>
          <w:szCs w:val="24"/>
        </w:rPr>
        <w:t>類專業人員於服務過程中的各項機制，</w:t>
      </w:r>
      <w:r w:rsidR="00524D77" w:rsidRPr="00971885">
        <w:rPr>
          <w:rFonts w:ascii="標楷體" w:eastAsia="標楷體" w:hAnsi="標楷體" w:hint="eastAsia"/>
          <w:color w:val="000000" w:themeColor="text1"/>
          <w:szCs w:val="24"/>
        </w:rPr>
        <w:t>這些措施無非是使</w:t>
      </w:r>
      <w:r w:rsidR="00524D77" w:rsidRPr="00971885">
        <w:rPr>
          <w:rFonts w:ascii="標楷體" w:eastAsia="標楷體" w:hAnsi="標楷體"/>
          <w:color w:val="000000" w:themeColor="text1"/>
          <w:szCs w:val="24"/>
        </w:rPr>
        <w:t>TTQS</w:t>
      </w:r>
      <w:r w:rsidR="00524D77" w:rsidRPr="00971885">
        <w:rPr>
          <w:rFonts w:ascii="標楷體" w:eastAsia="標楷體" w:hAnsi="標楷體" w:hint="eastAsia"/>
          <w:color w:val="000000" w:themeColor="text1"/>
          <w:szCs w:val="24"/>
        </w:rPr>
        <w:t>更加公正完善，</w:t>
      </w:r>
      <w:r w:rsidR="00040151" w:rsidRPr="00971885">
        <w:rPr>
          <w:rFonts w:ascii="標楷體" w:eastAsia="標楷體" w:hAnsi="標楷體" w:hint="eastAsia"/>
          <w:color w:val="000000" w:themeColor="text1"/>
          <w:szCs w:val="24"/>
        </w:rPr>
        <w:t>也因此愈來愈</w:t>
      </w:r>
      <w:r w:rsidR="00524D77" w:rsidRPr="00971885">
        <w:rPr>
          <w:rFonts w:ascii="標楷體" w:eastAsia="標楷體" w:hAnsi="標楷體" w:hint="eastAsia"/>
          <w:color w:val="000000" w:themeColor="text1"/>
          <w:szCs w:val="24"/>
        </w:rPr>
        <w:t>獲得</w:t>
      </w:r>
      <w:r w:rsidR="00040151" w:rsidRPr="00971885">
        <w:rPr>
          <w:rFonts w:ascii="標楷體" w:eastAsia="標楷體" w:hAnsi="標楷體" w:hint="eastAsia"/>
          <w:color w:val="000000" w:themeColor="text1"/>
          <w:szCs w:val="24"/>
        </w:rPr>
        <w:t>了</w:t>
      </w:r>
      <w:r w:rsidR="00524D77" w:rsidRPr="00971885">
        <w:rPr>
          <w:rFonts w:ascii="標楷體" w:eastAsia="標楷體" w:hAnsi="標楷體" w:hint="eastAsia"/>
          <w:color w:val="000000" w:themeColor="text1"/>
          <w:szCs w:val="24"/>
        </w:rPr>
        <w:t>機關與企業的</w:t>
      </w:r>
      <w:r w:rsidR="00040151" w:rsidRPr="00971885">
        <w:rPr>
          <w:rFonts w:ascii="標楷體" w:eastAsia="標楷體" w:hAnsi="標楷體" w:hint="eastAsia"/>
          <w:color w:val="000000" w:themeColor="text1"/>
          <w:szCs w:val="24"/>
        </w:rPr>
        <w:t>重視與認同，</w:t>
      </w:r>
      <w:r w:rsidRPr="00971885">
        <w:rPr>
          <w:rFonts w:ascii="標楷體" w:eastAsia="標楷體" w:hAnsi="標楷體" w:hint="eastAsia"/>
          <w:color w:val="000000" w:themeColor="text1"/>
          <w:szCs w:val="24"/>
        </w:rPr>
        <w:t>如今的</w:t>
      </w:r>
      <w:r w:rsidRPr="00971885">
        <w:rPr>
          <w:rFonts w:ascii="標楷體" w:eastAsia="標楷體" w:hAnsi="標楷體"/>
          <w:color w:val="000000" w:themeColor="text1"/>
          <w:szCs w:val="24"/>
        </w:rPr>
        <w:t>TTQS</w:t>
      </w:r>
      <w:r w:rsidR="00040151" w:rsidRPr="00971885">
        <w:rPr>
          <w:rFonts w:ascii="標楷體" w:eastAsia="標楷體" w:hAnsi="標楷體" w:hint="eastAsia"/>
          <w:color w:val="000000" w:themeColor="text1"/>
          <w:szCs w:val="24"/>
        </w:rPr>
        <w:t>可謂</w:t>
      </w:r>
      <w:r w:rsidR="00591AB5" w:rsidRPr="00971885">
        <w:rPr>
          <w:rFonts w:ascii="標楷體" w:eastAsia="標楷體" w:hAnsi="標楷體" w:hint="eastAsia"/>
          <w:color w:val="000000" w:themeColor="text1"/>
          <w:szCs w:val="24"/>
        </w:rPr>
        <w:t>已</w:t>
      </w:r>
      <w:r w:rsidRPr="00971885">
        <w:rPr>
          <w:rFonts w:ascii="標楷體" w:eastAsia="標楷體" w:hAnsi="標楷體" w:hint="eastAsia"/>
          <w:color w:val="000000" w:themeColor="text1"/>
          <w:szCs w:val="24"/>
        </w:rPr>
        <w:t>邁</w:t>
      </w:r>
      <w:r w:rsidRPr="00971885">
        <w:rPr>
          <w:rFonts w:ascii="標楷體" w:eastAsia="標楷體" w:hAnsi="標楷體"/>
          <w:color w:val="000000" w:themeColor="text1"/>
          <w:szCs w:val="24"/>
        </w:rPr>
        <w:t>入穩定成熟階段。</w:t>
      </w:r>
    </w:p>
    <w:p w:rsidR="00135205" w:rsidRPr="00971885" w:rsidRDefault="00135205" w:rsidP="00FF1745">
      <w:pPr>
        <w:widowControl/>
        <w:spacing w:beforeLines="50" w:afterLines="50" w:line="293" w:lineRule="atLeast"/>
        <w:ind w:firstLineChars="200" w:firstLine="480"/>
        <w:rPr>
          <w:rFonts w:ascii="標楷體" w:eastAsia="標楷體" w:hAnsi="標楷體" w:hint="eastAsia"/>
          <w:color w:val="000000" w:themeColor="text1"/>
          <w:szCs w:val="24"/>
        </w:rPr>
      </w:pPr>
      <w:r w:rsidRPr="00971885">
        <w:rPr>
          <w:rFonts w:ascii="標楷體" w:eastAsia="標楷體" w:hAnsi="標楷體" w:hint="eastAsia"/>
          <w:color w:val="000000" w:themeColor="text1"/>
          <w:szCs w:val="24"/>
        </w:rPr>
        <w:t>但由於目前TTQS評核制度是採「評核計分卡」的方式，</w:t>
      </w:r>
      <w:r w:rsidRPr="00971885">
        <w:rPr>
          <w:rFonts w:ascii="標楷體" w:eastAsia="標楷體" w:hAnsi="標楷體"/>
          <w:color w:val="000000" w:themeColor="text1"/>
          <w:szCs w:val="24"/>
        </w:rPr>
        <w:t>以PDDRO</w:t>
      </w:r>
      <w:r w:rsidRPr="00971885">
        <w:rPr>
          <w:rFonts w:ascii="標楷體" w:eastAsia="標楷體" w:hAnsi="標楷體" w:hint="eastAsia"/>
          <w:color w:val="000000" w:themeColor="text1"/>
          <w:szCs w:val="24"/>
        </w:rPr>
        <w:t xml:space="preserve"> 五大構面，19項</w:t>
      </w:r>
      <w:r w:rsidRPr="00971885">
        <w:rPr>
          <w:rFonts w:ascii="標楷體" w:eastAsia="標楷體" w:hAnsi="標楷體"/>
          <w:color w:val="000000" w:themeColor="text1"/>
          <w:szCs w:val="24"/>
        </w:rPr>
        <w:t>指標總分來檢試受評單位</w:t>
      </w:r>
      <w:r w:rsidRPr="00971885">
        <w:rPr>
          <w:rFonts w:ascii="標楷體" w:eastAsia="標楷體" w:hAnsi="標楷體" w:hint="eastAsia"/>
          <w:color w:val="000000" w:themeColor="text1"/>
          <w:szCs w:val="24"/>
        </w:rPr>
        <w:t>的評核結果</w:t>
      </w:r>
      <w:r w:rsidRPr="00971885">
        <w:rPr>
          <w:rFonts w:ascii="標楷體" w:eastAsia="標楷體" w:hAnsi="標楷體"/>
          <w:color w:val="000000" w:themeColor="text1"/>
          <w:szCs w:val="24"/>
        </w:rPr>
        <w:t xml:space="preserve"> (</w:t>
      </w:r>
      <w:r w:rsidR="00591AB5" w:rsidRPr="00971885">
        <w:rPr>
          <w:rFonts w:ascii="標楷體" w:eastAsia="標楷體" w:hAnsi="標楷體" w:hint="eastAsia"/>
          <w:color w:val="000000" w:themeColor="text1"/>
          <w:szCs w:val="24"/>
        </w:rPr>
        <w:t>區</w:t>
      </w:r>
      <w:r w:rsidRPr="00971885">
        <w:rPr>
          <w:rFonts w:ascii="標楷體" w:eastAsia="標楷體" w:hAnsi="標楷體" w:hint="eastAsia"/>
          <w:color w:val="000000" w:themeColor="text1"/>
          <w:szCs w:val="24"/>
        </w:rPr>
        <w:t>分為</w:t>
      </w:r>
      <w:r w:rsidRPr="00971885">
        <w:rPr>
          <w:rFonts w:ascii="標楷體" w:eastAsia="標楷體" w:hAnsi="標楷體"/>
          <w:color w:val="000000" w:themeColor="text1"/>
          <w:szCs w:val="24"/>
        </w:rPr>
        <w:t>「未通過」</w:t>
      </w:r>
      <w:r w:rsidRPr="00971885">
        <w:rPr>
          <w:rFonts w:ascii="標楷體" w:eastAsia="標楷體" w:hAnsi="標楷體" w:hint="eastAsia"/>
          <w:color w:val="000000" w:themeColor="text1"/>
          <w:szCs w:val="24"/>
        </w:rPr>
        <w:t>(53</w:t>
      </w:r>
      <w:r w:rsidRPr="00971885">
        <w:rPr>
          <w:rFonts w:ascii="標楷體" w:eastAsia="標楷體" w:hAnsi="標楷體"/>
          <w:color w:val="000000" w:themeColor="text1"/>
          <w:szCs w:val="24"/>
        </w:rPr>
        <w:t>分</w:t>
      </w:r>
      <w:r w:rsidRPr="00971885">
        <w:rPr>
          <w:rFonts w:ascii="標楷體" w:eastAsia="標楷體" w:hAnsi="標楷體" w:hint="eastAsia"/>
          <w:color w:val="000000" w:themeColor="text1"/>
          <w:szCs w:val="24"/>
        </w:rPr>
        <w:t>以下)</w:t>
      </w:r>
      <w:r w:rsidRPr="00971885">
        <w:rPr>
          <w:rFonts w:ascii="標楷體" w:eastAsia="標楷體" w:hAnsi="標楷體"/>
          <w:color w:val="000000" w:themeColor="text1"/>
          <w:szCs w:val="24"/>
        </w:rPr>
        <w:t>、「通過門檻」</w:t>
      </w:r>
      <w:r w:rsidRPr="00971885">
        <w:rPr>
          <w:rFonts w:ascii="標楷體" w:eastAsia="標楷體" w:hAnsi="標楷體" w:hint="eastAsia"/>
          <w:color w:val="000000" w:themeColor="text1"/>
          <w:szCs w:val="24"/>
        </w:rPr>
        <w:t>(53.5 - 63</w:t>
      </w:r>
      <w:r w:rsidRPr="00971885">
        <w:rPr>
          <w:rFonts w:ascii="標楷體" w:eastAsia="標楷體" w:hAnsi="標楷體"/>
          <w:color w:val="000000" w:themeColor="text1"/>
          <w:szCs w:val="24"/>
        </w:rPr>
        <w:t>分</w:t>
      </w:r>
      <w:r w:rsidRPr="00971885">
        <w:rPr>
          <w:rFonts w:ascii="標楷體" w:eastAsia="標楷體" w:hAnsi="標楷體" w:hint="eastAsia"/>
          <w:color w:val="000000" w:themeColor="text1"/>
          <w:szCs w:val="24"/>
        </w:rPr>
        <w:t>)</w:t>
      </w:r>
      <w:r w:rsidRPr="00971885">
        <w:rPr>
          <w:rFonts w:ascii="標楷體" w:eastAsia="標楷體" w:hAnsi="標楷體"/>
          <w:color w:val="000000" w:themeColor="text1"/>
          <w:szCs w:val="24"/>
        </w:rPr>
        <w:t>、「銅牌」</w:t>
      </w:r>
      <w:r w:rsidRPr="00971885">
        <w:rPr>
          <w:rFonts w:ascii="標楷體" w:eastAsia="標楷體" w:hAnsi="標楷體" w:hint="eastAsia"/>
          <w:color w:val="000000" w:themeColor="text1"/>
          <w:szCs w:val="24"/>
        </w:rPr>
        <w:t>(63.5 - 74</w:t>
      </w:r>
      <w:r w:rsidRPr="00971885">
        <w:rPr>
          <w:rFonts w:ascii="標楷體" w:eastAsia="標楷體" w:hAnsi="標楷體"/>
          <w:color w:val="000000" w:themeColor="text1"/>
          <w:szCs w:val="24"/>
        </w:rPr>
        <w:t>分</w:t>
      </w:r>
      <w:r w:rsidRPr="00971885">
        <w:rPr>
          <w:rFonts w:ascii="標楷體" w:eastAsia="標楷體" w:hAnsi="標楷體" w:hint="eastAsia"/>
          <w:color w:val="000000" w:themeColor="text1"/>
          <w:szCs w:val="24"/>
        </w:rPr>
        <w:t>)</w:t>
      </w:r>
      <w:r w:rsidRPr="00971885">
        <w:rPr>
          <w:rFonts w:ascii="標楷體" w:eastAsia="標楷體" w:hAnsi="標楷體"/>
          <w:color w:val="000000" w:themeColor="text1"/>
          <w:szCs w:val="24"/>
        </w:rPr>
        <w:t>、「銀牌」</w:t>
      </w:r>
      <w:r w:rsidRPr="00971885">
        <w:rPr>
          <w:rFonts w:ascii="標楷體" w:eastAsia="標楷體" w:hAnsi="標楷體" w:hint="eastAsia"/>
          <w:color w:val="000000" w:themeColor="text1"/>
          <w:szCs w:val="24"/>
        </w:rPr>
        <w:t>(74.5 - 85</w:t>
      </w:r>
      <w:r w:rsidRPr="00971885">
        <w:rPr>
          <w:rFonts w:ascii="標楷體" w:eastAsia="標楷體" w:hAnsi="標楷體"/>
          <w:color w:val="000000" w:themeColor="text1"/>
          <w:szCs w:val="24"/>
        </w:rPr>
        <w:t>分</w:t>
      </w:r>
      <w:r w:rsidRPr="00971885">
        <w:rPr>
          <w:rFonts w:ascii="標楷體" w:eastAsia="標楷體" w:hAnsi="標楷體" w:hint="eastAsia"/>
          <w:color w:val="000000" w:themeColor="text1"/>
          <w:szCs w:val="24"/>
        </w:rPr>
        <w:t>)</w:t>
      </w:r>
      <w:r w:rsidRPr="00971885">
        <w:rPr>
          <w:rFonts w:ascii="標楷體" w:eastAsia="標楷體" w:hAnsi="標楷體"/>
          <w:color w:val="000000" w:themeColor="text1"/>
          <w:szCs w:val="24"/>
        </w:rPr>
        <w:t>、「金牌」</w:t>
      </w:r>
      <w:r w:rsidRPr="00971885">
        <w:rPr>
          <w:rFonts w:ascii="標楷體" w:eastAsia="標楷體" w:hAnsi="標楷體" w:hint="eastAsia"/>
          <w:color w:val="000000" w:themeColor="text1"/>
          <w:szCs w:val="24"/>
        </w:rPr>
        <w:t>(85.5</w:t>
      </w:r>
      <w:r w:rsidRPr="00971885">
        <w:rPr>
          <w:rFonts w:ascii="標楷體" w:eastAsia="標楷體" w:hAnsi="標楷體"/>
          <w:color w:val="000000" w:themeColor="text1"/>
          <w:szCs w:val="24"/>
        </w:rPr>
        <w:t>分</w:t>
      </w:r>
      <w:r w:rsidRPr="00971885">
        <w:rPr>
          <w:rFonts w:ascii="標楷體" w:eastAsia="標楷體" w:hAnsi="標楷體" w:hint="eastAsia"/>
          <w:color w:val="000000" w:themeColor="text1"/>
          <w:szCs w:val="24"/>
        </w:rPr>
        <w:t>以上)</w:t>
      </w:r>
      <w:r w:rsidRPr="00971885">
        <w:rPr>
          <w:rFonts w:ascii="標楷體" w:eastAsia="標楷體" w:hAnsi="標楷體"/>
          <w:color w:val="000000" w:themeColor="text1"/>
          <w:szCs w:val="24"/>
        </w:rPr>
        <w:t>等</w:t>
      </w:r>
      <w:r w:rsidRPr="00971885">
        <w:rPr>
          <w:rFonts w:ascii="標楷體" w:eastAsia="標楷體" w:hAnsi="標楷體" w:hint="eastAsia"/>
          <w:color w:val="000000" w:themeColor="text1"/>
          <w:szCs w:val="24"/>
        </w:rPr>
        <w:t>五</w:t>
      </w:r>
      <w:r w:rsidRPr="00971885">
        <w:rPr>
          <w:rFonts w:ascii="標楷體" w:eastAsia="標楷體" w:hAnsi="標楷體"/>
          <w:color w:val="000000" w:themeColor="text1"/>
          <w:szCs w:val="24"/>
        </w:rPr>
        <w:t>等級)。</w:t>
      </w:r>
      <w:r w:rsidRPr="00971885">
        <w:rPr>
          <w:rFonts w:ascii="標楷體" w:eastAsia="標楷體" w:hAnsi="標楷體" w:hint="eastAsia"/>
          <w:color w:val="000000" w:themeColor="text1"/>
          <w:szCs w:val="24"/>
        </w:rPr>
        <w:t>雖然每個等級設有9.5-10.5</w:t>
      </w:r>
      <w:r w:rsidRPr="00971885">
        <w:rPr>
          <w:rFonts w:ascii="標楷體" w:eastAsia="標楷體" w:hAnsi="標楷體"/>
          <w:color w:val="000000" w:themeColor="text1"/>
          <w:szCs w:val="24"/>
        </w:rPr>
        <w:t>分</w:t>
      </w:r>
      <w:r w:rsidRPr="00971885">
        <w:rPr>
          <w:rFonts w:ascii="標楷體" w:eastAsia="標楷體" w:hAnsi="標楷體" w:hint="eastAsia"/>
          <w:color w:val="000000" w:themeColor="text1"/>
          <w:szCs w:val="24"/>
        </w:rPr>
        <w:t>以上之級距，但在每個等級臨界之間卻僅有</w:t>
      </w:r>
      <w:r w:rsidRPr="00971885">
        <w:rPr>
          <w:rFonts w:ascii="標楷體" w:eastAsia="標楷體" w:hAnsi="標楷體"/>
          <w:color w:val="000000" w:themeColor="text1"/>
          <w:szCs w:val="24"/>
        </w:rPr>
        <w:t>0.5分</w:t>
      </w:r>
      <w:r w:rsidRPr="00971885">
        <w:rPr>
          <w:rFonts w:ascii="標楷體" w:eastAsia="標楷體" w:hAnsi="標楷體" w:hint="eastAsia"/>
          <w:color w:val="000000" w:themeColor="text1"/>
          <w:szCs w:val="24"/>
        </w:rPr>
        <w:t>之差異，</w:t>
      </w:r>
      <w:r w:rsidR="005F0E39" w:rsidRPr="00971885">
        <w:rPr>
          <w:rFonts w:ascii="標楷體" w:eastAsia="標楷體" w:hAnsi="標楷體" w:hint="eastAsia"/>
          <w:color w:val="000000" w:themeColor="text1"/>
          <w:szCs w:val="24"/>
        </w:rPr>
        <w:t>評核委員稍有偏差，</w:t>
      </w:r>
      <w:r w:rsidR="00591AB5" w:rsidRPr="00971885">
        <w:rPr>
          <w:rFonts w:ascii="標楷體" w:eastAsia="標楷體" w:hAnsi="標楷體" w:hint="eastAsia"/>
          <w:color w:val="000000" w:themeColor="text1"/>
          <w:szCs w:val="24"/>
        </w:rPr>
        <w:t>結果</w:t>
      </w:r>
      <w:r w:rsidR="005F0E39" w:rsidRPr="00971885">
        <w:rPr>
          <w:rFonts w:ascii="標楷體" w:eastAsia="標楷體" w:hAnsi="標楷體" w:hint="eastAsia"/>
          <w:color w:val="000000" w:themeColor="text1"/>
          <w:szCs w:val="24"/>
        </w:rPr>
        <w:t>即</w:t>
      </w:r>
      <w:r w:rsidRPr="00971885">
        <w:rPr>
          <w:rFonts w:ascii="標楷體" w:eastAsia="標楷體" w:hAnsi="標楷體" w:hint="eastAsia"/>
          <w:color w:val="000000" w:themeColor="text1"/>
          <w:szCs w:val="24"/>
        </w:rPr>
        <w:t>可</w:t>
      </w:r>
      <w:r w:rsidR="005F0E39" w:rsidRPr="00971885">
        <w:rPr>
          <w:rFonts w:ascii="標楷體" w:eastAsia="標楷體" w:hAnsi="標楷體" w:hint="eastAsia"/>
          <w:color w:val="000000" w:themeColor="text1"/>
          <w:szCs w:val="24"/>
        </w:rPr>
        <w:t>能</w:t>
      </w:r>
      <w:r w:rsidR="00591AB5" w:rsidRPr="00971885">
        <w:rPr>
          <w:rFonts w:ascii="標楷體" w:eastAsia="標楷體" w:hAnsi="標楷體" w:hint="eastAsia"/>
          <w:color w:val="000000" w:themeColor="text1"/>
          <w:szCs w:val="24"/>
        </w:rPr>
        <w:t>會差上一個等級，真可謂</w:t>
      </w:r>
      <w:r w:rsidR="005F0E39" w:rsidRPr="00971885">
        <w:rPr>
          <w:rFonts w:ascii="標楷體" w:eastAsia="標楷體" w:hAnsi="標楷體" w:hint="eastAsia"/>
          <w:color w:val="000000" w:themeColor="text1"/>
          <w:szCs w:val="24"/>
        </w:rPr>
        <w:t>「</w:t>
      </w:r>
      <w:r w:rsidRPr="00971885">
        <w:rPr>
          <w:rFonts w:ascii="標楷體" w:eastAsia="標楷體" w:hAnsi="標楷體" w:hint="eastAsia"/>
          <w:color w:val="000000" w:themeColor="text1"/>
          <w:szCs w:val="24"/>
        </w:rPr>
        <w:t>差之毫</w:t>
      </w:r>
      <w:r w:rsidR="000B47A9" w:rsidRPr="00971885">
        <w:rPr>
          <w:rFonts w:ascii="標楷體" w:eastAsia="標楷體" w:hAnsi="標楷體" w:hint="eastAsia"/>
          <w:color w:val="000000" w:themeColor="text1"/>
          <w:szCs w:val="24"/>
        </w:rPr>
        <w:t>釐</w:t>
      </w:r>
      <w:r w:rsidR="005F0E39" w:rsidRPr="00971885">
        <w:rPr>
          <w:rFonts w:ascii="標楷體" w:eastAsia="標楷體" w:hAnsi="標楷體" w:hint="eastAsia"/>
          <w:color w:val="000000" w:themeColor="text1"/>
          <w:szCs w:val="24"/>
        </w:rPr>
        <w:t>，</w:t>
      </w:r>
      <w:r w:rsidRPr="00971885">
        <w:rPr>
          <w:rFonts w:ascii="標楷體" w:eastAsia="標楷體" w:hAnsi="標楷體" w:hint="eastAsia"/>
          <w:color w:val="000000" w:themeColor="text1"/>
          <w:szCs w:val="24"/>
        </w:rPr>
        <w:t>失之千</w:t>
      </w:r>
      <w:r w:rsidR="005F0E39" w:rsidRPr="00971885">
        <w:rPr>
          <w:rFonts w:ascii="標楷體" w:eastAsia="標楷體" w:hAnsi="標楷體" w:hint="eastAsia"/>
          <w:color w:val="000000" w:themeColor="text1"/>
          <w:szCs w:val="24"/>
        </w:rPr>
        <w:t>里」</w:t>
      </w:r>
      <w:r w:rsidRPr="00971885">
        <w:rPr>
          <w:rFonts w:ascii="標楷體" w:eastAsia="標楷體" w:hAnsi="標楷體" w:hint="eastAsia"/>
          <w:color w:val="000000" w:themeColor="text1"/>
          <w:szCs w:val="24"/>
        </w:rPr>
        <w:t>，因此評核委員之重要性不言可喻。然而依黃惇勝教授在2009年以北部地區286個受評案例作為樣本，進行評核配對間一致性分析。研究結果顯示，有13~15%的配對委員計分沒有一致性；近年來雖然</w:t>
      </w:r>
      <w:r w:rsidRPr="00971885">
        <w:rPr>
          <w:rFonts w:ascii="標楷體" w:eastAsia="標楷體" w:hAnsi="標楷體"/>
          <w:color w:val="000000" w:themeColor="text1"/>
          <w:szCs w:val="24"/>
        </w:rPr>
        <w:t>在評核指標</w:t>
      </w:r>
      <w:r w:rsidRPr="00971885">
        <w:rPr>
          <w:rFonts w:ascii="標楷體" w:eastAsia="標楷體" w:hAnsi="標楷體" w:hint="eastAsia"/>
          <w:color w:val="000000" w:themeColor="text1"/>
          <w:szCs w:val="24"/>
        </w:rPr>
        <w:t>的認知與</w:t>
      </w:r>
      <w:r w:rsidRPr="00971885">
        <w:rPr>
          <w:rFonts w:ascii="標楷體" w:eastAsia="標楷體" w:hAnsi="標楷體"/>
          <w:color w:val="000000" w:themeColor="text1"/>
          <w:szCs w:val="24"/>
        </w:rPr>
        <w:t>共識</w:t>
      </w:r>
      <w:r w:rsidRPr="00971885">
        <w:rPr>
          <w:rFonts w:ascii="標楷體" w:eastAsia="標楷體" w:hAnsi="標楷體" w:hint="eastAsia"/>
          <w:color w:val="000000" w:themeColor="text1"/>
          <w:szCs w:val="24"/>
        </w:rPr>
        <w:t>上已經</w:t>
      </w:r>
      <w:r w:rsidR="00021597" w:rsidRPr="00971885">
        <w:rPr>
          <w:rFonts w:ascii="標楷體" w:eastAsia="標楷體" w:hAnsi="標楷體" w:hint="eastAsia"/>
          <w:color w:val="000000" w:themeColor="text1"/>
          <w:szCs w:val="24"/>
        </w:rPr>
        <w:t>在職訓局、彙管單位及各分區中心承辦人員、講師、顧問、評委的努力下</w:t>
      </w:r>
      <w:r w:rsidRPr="00971885">
        <w:rPr>
          <w:rFonts w:ascii="標楷體" w:eastAsia="標楷體" w:hAnsi="標楷體" w:hint="eastAsia"/>
          <w:color w:val="000000" w:themeColor="text1"/>
          <w:szCs w:val="24"/>
        </w:rPr>
        <w:t>做了許多努力與改進，但就個人近年來實際參與評核以及</w:t>
      </w:r>
      <w:r w:rsidRPr="00971885">
        <w:rPr>
          <w:rFonts w:ascii="標楷體" w:eastAsia="標楷體" w:hAnsi="標楷體"/>
          <w:color w:val="000000" w:themeColor="text1"/>
          <w:szCs w:val="24"/>
        </w:rPr>
        <w:t>校準研習活動</w:t>
      </w:r>
      <w:r w:rsidRPr="00971885">
        <w:rPr>
          <w:rFonts w:ascii="標楷體" w:eastAsia="標楷體" w:hAnsi="標楷體" w:hint="eastAsia"/>
          <w:color w:val="000000" w:themeColor="text1"/>
          <w:szCs w:val="24"/>
        </w:rPr>
        <w:t>經驗，不同的委員</w:t>
      </w:r>
      <w:r w:rsidR="005F0E39" w:rsidRPr="00971885">
        <w:rPr>
          <w:rFonts w:ascii="標楷體" w:eastAsia="標楷體" w:hAnsi="標楷體" w:hint="eastAsia"/>
          <w:color w:val="000000" w:themeColor="text1"/>
          <w:szCs w:val="24"/>
        </w:rPr>
        <w:t>、</w:t>
      </w:r>
      <w:r w:rsidRPr="00971885">
        <w:rPr>
          <w:rFonts w:ascii="標楷體" w:eastAsia="標楷體" w:hAnsi="標楷體" w:hint="eastAsia"/>
          <w:color w:val="000000" w:themeColor="text1"/>
          <w:szCs w:val="24"/>
        </w:rPr>
        <w:t>顧問或組別間對</w:t>
      </w:r>
      <w:r w:rsidR="005F0E39" w:rsidRPr="00971885">
        <w:rPr>
          <w:rFonts w:ascii="標楷體" w:eastAsia="標楷體" w:hAnsi="標楷體" w:hint="eastAsia"/>
          <w:color w:val="000000" w:themeColor="text1"/>
          <w:szCs w:val="24"/>
        </w:rPr>
        <w:t>每個</w:t>
      </w:r>
      <w:r w:rsidRPr="00971885">
        <w:rPr>
          <w:rFonts w:ascii="標楷體" w:eastAsia="標楷體" w:hAnsi="標楷體" w:hint="eastAsia"/>
          <w:color w:val="000000" w:themeColor="text1"/>
          <w:szCs w:val="24"/>
        </w:rPr>
        <w:t>指標的</w:t>
      </w:r>
      <w:r w:rsidRPr="00971885">
        <w:rPr>
          <w:rFonts w:ascii="標楷體" w:eastAsia="標楷體" w:hAnsi="標楷體"/>
          <w:color w:val="000000" w:themeColor="text1"/>
          <w:szCs w:val="24"/>
        </w:rPr>
        <w:t>評分</w:t>
      </w:r>
      <w:r w:rsidRPr="00971885">
        <w:rPr>
          <w:rFonts w:ascii="標楷體" w:eastAsia="標楷體" w:hAnsi="標楷體" w:hint="eastAsia"/>
          <w:color w:val="000000" w:themeColor="text1"/>
          <w:szCs w:val="24"/>
        </w:rPr>
        <w:t>上仍</w:t>
      </w:r>
      <w:r w:rsidR="005F288B" w:rsidRPr="00971885">
        <w:rPr>
          <w:rFonts w:ascii="標楷體" w:eastAsia="標楷體" w:hAnsi="標楷體" w:hint="eastAsia"/>
          <w:color w:val="000000" w:themeColor="text1"/>
          <w:szCs w:val="24"/>
        </w:rPr>
        <w:t>常</w:t>
      </w:r>
      <w:r w:rsidRPr="00971885">
        <w:rPr>
          <w:rFonts w:ascii="標楷體" w:eastAsia="標楷體" w:hAnsi="標楷體" w:hint="eastAsia"/>
          <w:color w:val="000000" w:themeColor="text1"/>
          <w:szCs w:val="24"/>
        </w:rPr>
        <w:t>出現一些差距，</w:t>
      </w:r>
      <w:r w:rsidR="005F0E39" w:rsidRPr="00971885">
        <w:rPr>
          <w:rFonts w:ascii="標楷體" w:eastAsia="標楷體" w:hAnsi="標楷體" w:hint="eastAsia"/>
          <w:color w:val="000000" w:themeColor="text1"/>
          <w:szCs w:val="24"/>
        </w:rPr>
        <w:t>如此累計19個指標總分</w:t>
      </w:r>
      <w:r w:rsidR="00AC68B1" w:rsidRPr="00971885">
        <w:rPr>
          <w:rFonts w:ascii="標楷體" w:eastAsia="標楷體" w:hAnsi="標楷體" w:hint="eastAsia"/>
          <w:color w:val="000000" w:themeColor="text1"/>
          <w:szCs w:val="24"/>
        </w:rPr>
        <w:t>，評核結果</w:t>
      </w:r>
      <w:r w:rsidR="005F288B" w:rsidRPr="00971885">
        <w:rPr>
          <w:rFonts w:ascii="標楷體" w:eastAsia="標楷體" w:hAnsi="標楷體" w:hint="eastAsia"/>
          <w:color w:val="000000" w:themeColor="text1"/>
          <w:szCs w:val="24"/>
        </w:rPr>
        <w:t>極</w:t>
      </w:r>
      <w:r w:rsidR="005F0E39" w:rsidRPr="00971885">
        <w:rPr>
          <w:rFonts w:ascii="標楷體" w:eastAsia="標楷體" w:hAnsi="標楷體" w:hint="eastAsia"/>
          <w:color w:val="000000" w:themeColor="text1"/>
          <w:szCs w:val="24"/>
        </w:rPr>
        <w:t>有可能差上一個</w:t>
      </w:r>
      <w:r w:rsidR="005F288B" w:rsidRPr="00971885">
        <w:rPr>
          <w:rFonts w:ascii="標楷體" w:eastAsia="標楷體" w:hAnsi="標楷體" w:hint="eastAsia"/>
          <w:color w:val="000000" w:themeColor="text1"/>
          <w:szCs w:val="24"/>
        </w:rPr>
        <w:t>等級。</w:t>
      </w:r>
      <w:r w:rsidRPr="00971885">
        <w:rPr>
          <w:rFonts w:ascii="標楷體" w:eastAsia="標楷體" w:hAnsi="標楷體" w:hint="eastAsia"/>
          <w:color w:val="000000" w:themeColor="text1"/>
          <w:szCs w:val="24"/>
        </w:rPr>
        <w:t>細究原因，個人認為除了專業上的問題之外，多少與評核者的</w:t>
      </w:r>
      <w:r w:rsidRPr="00971885">
        <w:rPr>
          <w:rFonts w:ascii="標楷體" w:eastAsia="標楷體" w:hAnsi="標楷體"/>
          <w:color w:val="000000" w:themeColor="text1"/>
          <w:szCs w:val="24"/>
        </w:rPr>
        <w:t>人格特質</w:t>
      </w:r>
      <w:r w:rsidRPr="00971885">
        <w:rPr>
          <w:rFonts w:ascii="標楷體" w:eastAsia="標楷體" w:hAnsi="標楷體" w:hint="eastAsia"/>
          <w:color w:val="000000" w:themeColor="text1"/>
          <w:szCs w:val="24"/>
        </w:rPr>
        <w:t>有關，而過</w:t>
      </w:r>
      <w:r w:rsidR="005F288B" w:rsidRPr="00971885">
        <w:rPr>
          <w:rFonts w:ascii="標楷體" w:eastAsia="標楷體" w:hAnsi="標楷體" w:hint="eastAsia"/>
          <w:color w:val="000000" w:themeColor="text1"/>
          <w:szCs w:val="24"/>
        </w:rPr>
        <w:t>去</w:t>
      </w:r>
      <w:r w:rsidRPr="00971885">
        <w:rPr>
          <w:rFonts w:ascii="標楷體" w:eastAsia="標楷體" w:hAnsi="標楷體" w:hint="eastAsia"/>
          <w:color w:val="000000" w:themeColor="text1"/>
          <w:szCs w:val="24"/>
        </w:rPr>
        <w:t>有關</w:t>
      </w:r>
      <w:r w:rsidRPr="00971885">
        <w:rPr>
          <w:rFonts w:ascii="標楷體" w:eastAsia="標楷體" w:hAnsi="標楷體"/>
          <w:color w:val="000000" w:themeColor="text1"/>
          <w:szCs w:val="24"/>
        </w:rPr>
        <w:t>TTQS</w:t>
      </w:r>
      <w:r w:rsidRPr="00971885">
        <w:rPr>
          <w:rFonts w:ascii="標楷體" w:eastAsia="標楷體" w:hAnsi="標楷體" w:hint="eastAsia"/>
          <w:color w:val="000000" w:themeColor="text1"/>
          <w:szCs w:val="24"/>
        </w:rPr>
        <w:t>評分與一致性的探討研究大都偏重於專業</w:t>
      </w:r>
      <w:r w:rsidR="00021597" w:rsidRPr="00971885">
        <w:rPr>
          <w:rFonts w:ascii="標楷體" w:eastAsia="標楷體" w:hAnsi="標楷體" w:hint="eastAsia"/>
          <w:color w:val="000000" w:themeColor="text1"/>
          <w:szCs w:val="24"/>
        </w:rPr>
        <w:t>面</w:t>
      </w:r>
      <w:r w:rsidRPr="00971885">
        <w:rPr>
          <w:rFonts w:ascii="標楷體" w:eastAsia="標楷體" w:hAnsi="標楷體" w:hint="eastAsia"/>
          <w:color w:val="000000" w:themeColor="text1"/>
          <w:szCs w:val="24"/>
        </w:rPr>
        <w:t>，但對</w:t>
      </w:r>
      <w:r w:rsidR="005F288B" w:rsidRPr="00971885">
        <w:rPr>
          <w:rFonts w:ascii="標楷體" w:eastAsia="標楷體" w:hAnsi="標楷體" w:hint="eastAsia"/>
          <w:color w:val="000000" w:themeColor="text1"/>
          <w:szCs w:val="24"/>
        </w:rPr>
        <w:t>評核者的</w:t>
      </w:r>
      <w:r w:rsidR="005F288B" w:rsidRPr="00971885">
        <w:rPr>
          <w:rFonts w:ascii="標楷體" w:eastAsia="標楷體" w:hAnsi="標楷體"/>
          <w:color w:val="000000" w:themeColor="text1"/>
          <w:szCs w:val="24"/>
        </w:rPr>
        <w:t>人格特質</w:t>
      </w:r>
      <w:r w:rsidRPr="00971885">
        <w:rPr>
          <w:rFonts w:ascii="標楷體" w:eastAsia="標楷體" w:hAnsi="標楷體" w:hint="eastAsia"/>
          <w:color w:val="000000" w:themeColor="text1"/>
          <w:szCs w:val="24"/>
        </w:rPr>
        <w:t>這方面的探討較為少見，</w:t>
      </w:r>
      <w:r w:rsidR="00021597" w:rsidRPr="00971885">
        <w:rPr>
          <w:rFonts w:ascii="標楷體" w:eastAsia="標楷體" w:hAnsi="標楷體" w:hint="eastAsia"/>
          <w:color w:val="000000" w:themeColor="text1"/>
          <w:szCs w:val="24"/>
        </w:rPr>
        <w:t>本文僅就</w:t>
      </w:r>
      <w:r w:rsidR="00720C9D" w:rsidRPr="00971885">
        <w:rPr>
          <w:rFonts w:ascii="標楷體" w:eastAsia="標楷體" w:hAnsi="標楷體" w:hint="eastAsia"/>
          <w:color w:val="000000" w:themeColor="text1"/>
          <w:szCs w:val="24"/>
        </w:rPr>
        <w:t>此提出一些看法。</w:t>
      </w:r>
    </w:p>
    <w:p w:rsidR="009A5A9E" w:rsidRPr="009B1AD4" w:rsidRDefault="007C4BF3" w:rsidP="007C4BF3">
      <w:pPr>
        <w:widowControl/>
        <w:rPr>
          <w:rFonts w:ascii="標楷體" w:eastAsia="標楷體" w:hAnsi="標楷體"/>
          <w:color w:val="000000" w:themeColor="text1"/>
          <w:szCs w:val="24"/>
        </w:rPr>
      </w:pPr>
      <w:r>
        <w:rPr>
          <w:rFonts w:ascii="標楷體" w:eastAsia="標楷體" w:hAnsi="標楷體"/>
          <w:color w:val="000000" w:themeColor="text1"/>
          <w:szCs w:val="24"/>
        </w:rPr>
        <w:br w:type="page"/>
      </w:r>
    </w:p>
    <w:p w:rsidR="00EE29C5" w:rsidRPr="009A5A9E" w:rsidRDefault="005F288B" w:rsidP="009A5A9E">
      <w:pPr>
        <w:pStyle w:val="ab"/>
        <w:numPr>
          <w:ilvl w:val="0"/>
          <w:numId w:val="3"/>
        </w:numPr>
        <w:rPr>
          <w:rFonts w:ascii="標楷體" w:eastAsia="標楷體" w:hAnsi="標楷體" w:hint="eastAsia"/>
          <w:b/>
          <w:color w:val="000000" w:themeColor="text1"/>
          <w:sz w:val="28"/>
          <w:szCs w:val="24"/>
          <w:lang w:eastAsia="zh-TW"/>
        </w:rPr>
      </w:pPr>
      <w:r w:rsidRPr="009A5A9E">
        <w:rPr>
          <w:rFonts w:ascii="標楷體" w:eastAsia="標楷體" w:hAnsi="標楷體" w:hint="eastAsia"/>
          <w:b/>
          <w:color w:val="000000" w:themeColor="text1"/>
          <w:sz w:val="28"/>
          <w:szCs w:val="24"/>
          <w:lang w:eastAsia="zh-TW"/>
        </w:rPr>
        <w:lastRenderedPageBreak/>
        <w:t>評核委員</w:t>
      </w:r>
      <w:r w:rsidR="00750100" w:rsidRPr="009A5A9E">
        <w:rPr>
          <w:rFonts w:ascii="標楷體" w:eastAsia="標楷體" w:hAnsi="標楷體" w:hint="eastAsia"/>
          <w:b/>
          <w:color w:val="000000" w:themeColor="text1"/>
          <w:sz w:val="28"/>
          <w:szCs w:val="24"/>
          <w:lang w:eastAsia="zh-TW"/>
        </w:rPr>
        <w:t>的</w:t>
      </w:r>
      <w:r w:rsidR="00720C9D" w:rsidRPr="009A5A9E">
        <w:rPr>
          <w:rFonts w:ascii="標楷體" w:eastAsia="標楷體" w:hAnsi="標楷體" w:hint="eastAsia"/>
          <w:b/>
          <w:color w:val="000000" w:themeColor="text1"/>
          <w:sz w:val="28"/>
          <w:szCs w:val="24"/>
          <w:lang w:eastAsia="zh-TW"/>
        </w:rPr>
        <w:t>那些</w:t>
      </w:r>
      <w:r w:rsidRPr="009A5A9E">
        <w:rPr>
          <w:rFonts w:ascii="標楷體" w:eastAsia="標楷體" w:hAnsi="標楷體" w:hint="eastAsia"/>
          <w:b/>
          <w:color w:val="000000" w:themeColor="text1"/>
          <w:sz w:val="28"/>
          <w:szCs w:val="24"/>
          <w:lang w:eastAsia="zh-TW"/>
        </w:rPr>
        <w:t>人格特質可能影響評核結果？</w:t>
      </w:r>
    </w:p>
    <w:p w:rsidR="007C4BF3" w:rsidRPr="000B3945" w:rsidRDefault="00427D6B" w:rsidP="007C4BF3">
      <w:pPr>
        <w:widowControl/>
        <w:spacing w:line="293" w:lineRule="atLeast"/>
        <w:ind w:firstLineChars="200" w:firstLine="480"/>
        <w:rPr>
          <w:rFonts w:ascii="標楷體" w:eastAsia="標楷體" w:hAnsi="標楷體" w:hint="eastAsia"/>
          <w:color w:val="000000" w:themeColor="text1"/>
          <w:szCs w:val="24"/>
        </w:rPr>
      </w:pPr>
      <w:r w:rsidRPr="000B3945">
        <w:rPr>
          <w:rFonts w:ascii="標楷體" w:eastAsia="標楷體" w:hAnsi="標楷體" w:hint="eastAsia"/>
          <w:color w:val="000000" w:themeColor="text1"/>
          <w:szCs w:val="24"/>
        </w:rPr>
        <w:t>以下</w:t>
      </w:r>
      <w:r w:rsidR="005F288B" w:rsidRPr="000B3945">
        <w:rPr>
          <w:rFonts w:ascii="標楷體" w:eastAsia="標楷體" w:hAnsi="標楷體" w:hint="eastAsia"/>
          <w:color w:val="000000" w:themeColor="text1"/>
          <w:szCs w:val="24"/>
        </w:rPr>
        <w:t>列出幾項</w:t>
      </w:r>
      <w:r w:rsidRPr="000B3945">
        <w:rPr>
          <w:rFonts w:ascii="標楷體" w:eastAsia="標楷體" w:hAnsi="標楷體" w:hint="eastAsia"/>
          <w:color w:val="000000" w:themeColor="text1"/>
          <w:szCs w:val="24"/>
        </w:rPr>
        <w:t>，以為參考</w:t>
      </w:r>
      <w:r w:rsidR="005F288B" w:rsidRPr="000B3945">
        <w:rPr>
          <w:rFonts w:ascii="標楷體" w:eastAsia="標楷體" w:hAnsi="標楷體" w:hint="eastAsia"/>
          <w:color w:val="000000" w:themeColor="text1"/>
          <w:szCs w:val="24"/>
        </w:rPr>
        <w:t>：</w:t>
      </w:r>
    </w:p>
    <w:p w:rsidR="00467299" w:rsidRPr="000B3945" w:rsidRDefault="00467299" w:rsidP="007C4BF3">
      <w:pPr>
        <w:widowControl/>
        <w:spacing w:line="293" w:lineRule="atLeast"/>
        <w:ind w:firstLineChars="200" w:firstLine="480"/>
        <w:rPr>
          <w:rFonts w:ascii="標楷體" w:eastAsia="標楷體" w:hAnsi="標楷體" w:hint="eastAsia"/>
          <w:color w:val="000000" w:themeColor="text1"/>
          <w:szCs w:val="24"/>
        </w:rPr>
      </w:pPr>
    </w:p>
    <w:p w:rsidR="00D475FB" w:rsidRPr="00D475FB" w:rsidRDefault="005F288B" w:rsidP="008A3100">
      <w:pPr>
        <w:pStyle w:val="ab"/>
        <w:widowControl/>
        <w:numPr>
          <w:ilvl w:val="0"/>
          <w:numId w:val="5"/>
        </w:numPr>
        <w:spacing w:line="293" w:lineRule="atLeast"/>
        <w:rPr>
          <w:rFonts w:ascii="標楷體" w:eastAsia="標楷體" w:hAnsi="標楷體" w:hint="eastAsia"/>
          <w:b/>
          <w:color w:val="000000" w:themeColor="text1"/>
          <w:spacing w:val="-67"/>
          <w:sz w:val="24"/>
          <w:szCs w:val="24"/>
          <w:lang w:eastAsia="zh-TW"/>
        </w:rPr>
      </w:pPr>
      <w:r w:rsidRPr="000B3945">
        <w:rPr>
          <w:rFonts w:ascii="標楷體" w:eastAsia="標楷體" w:hAnsi="標楷體" w:cs="新細明體" w:hint="eastAsia"/>
          <w:b/>
          <w:color w:val="000000" w:themeColor="text1"/>
          <w:spacing w:val="-4"/>
          <w:sz w:val="24"/>
          <w:szCs w:val="24"/>
          <w:lang w:eastAsia="zh-TW"/>
        </w:rPr>
        <w:t>自信</w:t>
      </w:r>
      <w:r w:rsidRPr="000B3945">
        <w:rPr>
          <w:rFonts w:ascii="標楷體" w:eastAsia="標楷體" w:hAnsi="標楷體" w:cs="新細明體" w:hint="eastAsia"/>
          <w:b/>
          <w:color w:val="000000" w:themeColor="text1"/>
          <w:spacing w:val="-3"/>
          <w:sz w:val="24"/>
          <w:szCs w:val="24"/>
          <w:lang w:eastAsia="zh-TW"/>
        </w:rPr>
        <w:t>：</w:t>
      </w:r>
      <w:r w:rsidR="002B7B8B" w:rsidRPr="00971885">
        <w:rPr>
          <w:rFonts w:ascii="標楷體" w:eastAsia="標楷體" w:hAnsi="標楷體" w:cs="Times New Roman"/>
          <w:color w:val="000000" w:themeColor="text1"/>
          <w:kern w:val="2"/>
          <w:sz w:val="24"/>
          <w:szCs w:val="24"/>
          <w:lang w:eastAsia="zh-TW"/>
        </w:rPr>
        <w:t xml:space="preserve"> </w:t>
      </w:r>
    </w:p>
    <w:p w:rsidR="002B7B8B" w:rsidRPr="00D475FB" w:rsidRDefault="002B7B8B" w:rsidP="00D475FB">
      <w:pPr>
        <w:widowControl/>
        <w:spacing w:line="293" w:lineRule="atLeast"/>
        <w:ind w:leftChars="200" w:left="480" w:firstLineChars="200" w:firstLine="480"/>
        <w:rPr>
          <w:rFonts w:ascii="標楷體" w:eastAsia="標楷體" w:hAnsi="標楷體" w:hint="eastAsia"/>
          <w:color w:val="000000" w:themeColor="text1"/>
          <w:szCs w:val="24"/>
        </w:rPr>
      </w:pPr>
      <w:r w:rsidRPr="00971885">
        <w:rPr>
          <w:rFonts w:ascii="標楷體" w:eastAsia="標楷體" w:hAnsi="標楷體"/>
          <w:color w:val="000000" w:themeColor="text1"/>
          <w:szCs w:val="24"/>
        </w:rPr>
        <w:t xml:space="preserve">1950 </w:t>
      </w:r>
      <w:r w:rsidRPr="00971885">
        <w:rPr>
          <w:rFonts w:ascii="標楷體" w:eastAsia="標楷體" w:hAnsi="標楷體" w:hint="eastAsia"/>
          <w:color w:val="000000" w:themeColor="text1"/>
          <w:szCs w:val="24"/>
        </w:rPr>
        <w:t>年代的幾位學者，</w:t>
      </w:r>
      <w:r w:rsidRPr="00971885">
        <w:rPr>
          <w:rFonts w:ascii="標楷體" w:eastAsia="標楷體" w:hAnsi="標楷體"/>
          <w:color w:val="000000" w:themeColor="text1"/>
          <w:szCs w:val="24"/>
        </w:rPr>
        <w:t xml:space="preserve">例如 </w:t>
      </w:r>
      <w:proofErr w:type="spellStart"/>
      <w:r w:rsidRPr="00971885">
        <w:rPr>
          <w:rFonts w:ascii="標楷體" w:eastAsia="標楷體" w:hAnsi="標楷體"/>
          <w:color w:val="000000" w:themeColor="text1"/>
          <w:szCs w:val="24"/>
        </w:rPr>
        <w:t>Mandell</w:t>
      </w:r>
      <w:proofErr w:type="spellEnd"/>
      <w:r w:rsidRPr="00971885">
        <w:rPr>
          <w:rFonts w:ascii="標楷體" w:eastAsia="標楷體" w:hAnsi="標楷體"/>
          <w:color w:val="000000" w:themeColor="text1"/>
          <w:szCs w:val="24"/>
        </w:rPr>
        <w:t xml:space="preserve"> (1956)發現低自信的評核者容易貶抑</w:t>
      </w:r>
      <w:r w:rsidRPr="00971885">
        <w:rPr>
          <w:rFonts w:ascii="標楷體" w:eastAsia="標楷體" w:hAnsi="標楷體" w:hint="eastAsia"/>
          <w:color w:val="000000" w:themeColor="text1"/>
          <w:szCs w:val="24"/>
        </w:rPr>
        <w:t>受評者</w:t>
      </w:r>
      <w:r w:rsidRPr="00971885">
        <w:rPr>
          <w:rFonts w:ascii="標楷體" w:eastAsia="標楷體" w:hAnsi="標楷體"/>
          <w:color w:val="000000" w:themeColor="text1"/>
          <w:szCs w:val="24"/>
        </w:rPr>
        <w:t>表現，他們會給</w:t>
      </w:r>
      <w:r w:rsidR="005F288B" w:rsidRPr="00971885">
        <w:rPr>
          <w:rFonts w:ascii="標楷體" w:eastAsia="標楷體" w:hAnsi="標楷體" w:hint="eastAsia"/>
          <w:color w:val="000000" w:themeColor="text1"/>
          <w:szCs w:val="24"/>
        </w:rPr>
        <w:t>受評者</w:t>
      </w:r>
      <w:r w:rsidRPr="00971885">
        <w:rPr>
          <w:rFonts w:ascii="標楷體" w:eastAsia="標楷體" w:hAnsi="標楷體"/>
          <w:color w:val="000000" w:themeColor="text1"/>
          <w:szCs w:val="24"/>
        </w:rPr>
        <w:t>較低的評核分數。</w:t>
      </w:r>
    </w:p>
    <w:p w:rsidR="008A3100" w:rsidRPr="00467299" w:rsidRDefault="008A3100" w:rsidP="007C4BF3">
      <w:pPr>
        <w:widowControl/>
        <w:spacing w:line="293" w:lineRule="atLeast"/>
        <w:ind w:firstLineChars="200" w:firstLine="480"/>
        <w:rPr>
          <w:rFonts w:ascii="標楷體" w:eastAsia="標楷體" w:hAnsi="標楷體" w:hint="eastAsia"/>
          <w:color w:val="000000" w:themeColor="text1"/>
          <w:szCs w:val="24"/>
        </w:rPr>
      </w:pPr>
    </w:p>
    <w:p w:rsidR="00D475FB" w:rsidRPr="00D475FB" w:rsidRDefault="005F288B" w:rsidP="00467299">
      <w:pPr>
        <w:pStyle w:val="ab"/>
        <w:widowControl/>
        <w:numPr>
          <w:ilvl w:val="0"/>
          <w:numId w:val="5"/>
        </w:numPr>
        <w:spacing w:line="293" w:lineRule="atLeast"/>
        <w:rPr>
          <w:rFonts w:ascii="標楷體" w:eastAsia="標楷體" w:hAnsi="標楷體" w:cs="新細明體" w:hint="eastAsia"/>
          <w:color w:val="000000" w:themeColor="text1"/>
          <w:spacing w:val="-4"/>
          <w:sz w:val="24"/>
          <w:szCs w:val="24"/>
          <w:lang w:eastAsia="zh-TW"/>
        </w:rPr>
      </w:pPr>
      <w:r w:rsidRPr="00467299">
        <w:rPr>
          <w:rFonts w:ascii="標楷體" w:eastAsia="標楷體" w:hAnsi="標楷體" w:cs="新細明體" w:hint="eastAsia"/>
          <w:b/>
          <w:color w:val="000000" w:themeColor="text1"/>
          <w:spacing w:val="-4"/>
          <w:sz w:val="24"/>
          <w:szCs w:val="24"/>
          <w:lang w:eastAsia="zh-TW"/>
        </w:rPr>
        <w:t>焦慮性</w:t>
      </w:r>
      <w:r w:rsidRPr="00467299">
        <w:rPr>
          <w:rFonts w:ascii="標楷體" w:eastAsia="標楷體" w:hAnsi="標楷體" w:cs="新細明體"/>
          <w:b/>
          <w:color w:val="000000" w:themeColor="text1"/>
          <w:spacing w:val="-4"/>
          <w:sz w:val="24"/>
          <w:szCs w:val="24"/>
          <w:lang w:eastAsia="zh-TW"/>
        </w:rPr>
        <w:t>(anxiety)</w:t>
      </w:r>
      <w:r w:rsidRPr="00467299">
        <w:rPr>
          <w:rFonts w:ascii="標楷體" w:eastAsia="標楷體" w:hAnsi="標楷體" w:cs="新細明體" w:hint="eastAsia"/>
          <w:b/>
          <w:color w:val="000000" w:themeColor="text1"/>
          <w:spacing w:val="-4"/>
          <w:sz w:val="24"/>
          <w:szCs w:val="24"/>
          <w:lang w:eastAsia="zh-TW"/>
        </w:rPr>
        <w:t>：</w:t>
      </w:r>
    </w:p>
    <w:p w:rsidR="002B7B8B" w:rsidRPr="00D475FB" w:rsidRDefault="002B7B8B" w:rsidP="00D475FB">
      <w:pPr>
        <w:widowControl/>
        <w:spacing w:line="293" w:lineRule="atLeast"/>
        <w:ind w:leftChars="200" w:left="480" w:firstLineChars="200" w:firstLine="480"/>
        <w:rPr>
          <w:rFonts w:ascii="標楷體" w:eastAsia="標楷體" w:hAnsi="標楷體" w:hint="eastAsia"/>
          <w:color w:val="000000" w:themeColor="text1"/>
          <w:szCs w:val="24"/>
        </w:rPr>
      </w:pPr>
      <w:r w:rsidRPr="00971885">
        <w:rPr>
          <w:rFonts w:ascii="標楷體" w:eastAsia="標楷體" w:hAnsi="標楷體"/>
          <w:color w:val="000000" w:themeColor="text1"/>
          <w:szCs w:val="24"/>
        </w:rPr>
        <w:t>Lewis 與 Taylor(1955)則發現當評核者人格特質中有較高的焦慮 性(anxiety)時，會比低焦慮性的評核者給受評者較為極端的分數。</w:t>
      </w:r>
    </w:p>
    <w:p w:rsidR="008A3100" w:rsidRPr="00467299" w:rsidRDefault="008A3100" w:rsidP="00467299">
      <w:pPr>
        <w:pStyle w:val="ab"/>
        <w:widowControl/>
        <w:spacing w:line="293" w:lineRule="atLeast"/>
        <w:ind w:left="480"/>
        <w:rPr>
          <w:rFonts w:ascii="標楷體" w:eastAsia="標楷體" w:hAnsi="標楷體" w:cs="新細明體" w:hint="eastAsia"/>
          <w:b/>
          <w:color w:val="000000" w:themeColor="text1"/>
          <w:spacing w:val="-4"/>
          <w:sz w:val="24"/>
          <w:szCs w:val="24"/>
          <w:lang w:eastAsia="zh-TW"/>
        </w:rPr>
      </w:pPr>
    </w:p>
    <w:p w:rsidR="00D475FB" w:rsidRPr="00D475FB" w:rsidRDefault="000D675F" w:rsidP="00467299">
      <w:pPr>
        <w:pStyle w:val="ab"/>
        <w:widowControl/>
        <w:numPr>
          <w:ilvl w:val="0"/>
          <w:numId w:val="5"/>
        </w:numPr>
        <w:spacing w:line="293" w:lineRule="atLeast"/>
        <w:rPr>
          <w:rFonts w:ascii="標楷體" w:eastAsia="標楷體" w:hAnsi="標楷體" w:cs="新細明體" w:hint="eastAsia"/>
          <w:color w:val="000000" w:themeColor="text1"/>
          <w:spacing w:val="-4"/>
          <w:sz w:val="24"/>
          <w:szCs w:val="24"/>
          <w:lang w:eastAsia="zh-TW"/>
        </w:rPr>
      </w:pPr>
      <w:r w:rsidRPr="00467299">
        <w:rPr>
          <w:rFonts w:ascii="標楷體" w:eastAsia="標楷體" w:hAnsi="標楷體" w:cs="新細明體" w:hint="eastAsia"/>
          <w:b/>
          <w:color w:val="000000" w:themeColor="text1"/>
          <w:spacing w:val="-4"/>
          <w:sz w:val="24"/>
          <w:szCs w:val="24"/>
          <w:lang w:eastAsia="zh-TW"/>
        </w:rPr>
        <w:t>責任感傾向</w:t>
      </w:r>
      <w:r w:rsidRPr="00467299">
        <w:rPr>
          <w:rFonts w:ascii="標楷體" w:eastAsia="標楷體" w:hAnsi="標楷體" w:cs="新細明體"/>
          <w:b/>
          <w:color w:val="000000" w:themeColor="text1"/>
          <w:spacing w:val="-4"/>
          <w:sz w:val="24"/>
          <w:szCs w:val="24"/>
          <w:lang w:eastAsia="zh-TW"/>
        </w:rPr>
        <w:t xml:space="preserve"> (conscientiousness)</w:t>
      </w:r>
      <w:r w:rsidRPr="00467299">
        <w:rPr>
          <w:rFonts w:ascii="標楷體" w:eastAsia="標楷體" w:hAnsi="標楷體" w:cs="新細明體" w:hint="eastAsia"/>
          <w:b/>
          <w:color w:val="000000" w:themeColor="text1"/>
          <w:spacing w:val="-4"/>
          <w:sz w:val="24"/>
          <w:szCs w:val="24"/>
          <w:lang w:eastAsia="zh-TW"/>
        </w:rPr>
        <w:t>：</w:t>
      </w:r>
    </w:p>
    <w:p w:rsidR="000D675F" w:rsidRPr="00D475FB" w:rsidRDefault="000D675F" w:rsidP="00D475FB">
      <w:pPr>
        <w:widowControl/>
        <w:spacing w:line="293" w:lineRule="atLeast"/>
        <w:ind w:leftChars="200" w:left="480" w:firstLineChars="200" w:firstLine="480"/>
        <w:rPr>
          <w:rFonts w:ascii="標楷體" w:eastAsia="標楷體" w:hAnsi="標楷體" w:hint="eastAsia"/>
          <w:color w:val="000000" w:themeColor="text1"/>
          <w:szCs w:val="24"/>
        </w:rPr>
      </w:pPr>
      <w:proofErr w:type="spellStart"/>
      <w:r w:rsidRPr="00971885">
        <w:rPr>
          <w:rFonts w:ascii="標楷體" w:eastAsia="標楷體" w:hAnsi="標楷體"/>
          <w:color w:val="000000" w:themeColor="text1"/>
          <w:szCs w:val="24"/>
        </w:rPr>
        <w:t>Bernardin</w:t>
      </w:r>
      <w:proofErr w:type="spellEnd"/>
      <w:r w:rsidRPr="00971885">
        <w:rPr>
          <w:rFonts w:ascii="標楷體" w:eastAsia="標楷體" w:hAnsi="標楷體" w:hint="eastAsia"/>
          <w:color w:val="000000" w:themeColor="text1"/>
          <w:szCs w:val="24"/>
        </w:rPr>
        <w:t>、</w:t>
      </w:r>
      <w:r w:rsidRPr="00971885">
        <w:rPr>
          <w:rFonts w:ascii="標楷體" w:eastAsia="標楷體" w:hAnsi="標楷體"/>
          <w:color w:val="000000" w:themeColor="text1"/>
          <w:szCs w:val="24"/>
        </w:rPr>
        <w:t>Cooke</w:t>
      </w:r>
      <w:r w:rsidRPr="00971885">
        <w:rPr>
          <w:rFonts w:ascii="標楷體" w:eastAsia="標楷體" w:hAnsi="標楷體" w:hint="eastAsia"/>
          <w:color w:val="000000" w:themeColor="text1"/>
          <w:szCs w:val="24"/>
        </w:rPr>
        <w:t>、及</w:t>
      </w:r>
      <w:r w:rsidRPr="00971885">
        <w:rPr>
          <w:rFonts w:ascii="標楷體" w:eastAsia="標楷體" w:hAnsi="標楷體"/>
          <w:color w:val="000000" w:themeColor="text1"/>
          <w:szCs w:val="24"/>
        </w:rPr>
        <w:t xml:space="preserve"> Villanova(2000)</w:t>
      </w:r>
      <w:r w:rsidRPr="00971885">
        <w:rPr>
          <w:rFonts w:ascii="標楷體" w:eastAsia="標楷體" w:hAnsi="標楷體" w:hint="eastAsia"/>
          <w:color w:val="000000" w:themeColor="text1"/>
          <w:szCs w:val="24"/>
        </w:rPr>
        <w:t>則指出責任感傾向</w:t>
      </w:r>
      <w:r w:rsidRPr="00971885">
        <w:rPr>
          <w:rFonts w:ascii="標楷體" w:eastAsia="標楷體" w:hAnsi="標楷體"/>
          <w:color w:val="000000" w:themeColor="text1"/>
          <w:szCs w:val="24"/>
        </w:rPr>
        <w:t xml:space="preserve"> (conscientiousness)</w:t>
      </w:r>
      <w:r w:rsidRPr="00971885">
        <w:rPr>
          <w:rFonts w:ascii="標楷體" w:eastAsia="標楷體" w:hAnsi="標楷體" w:hint="eastAsia"/>
          <w:color w:val="000000" w:themeColor="text1"/>
          <w:szCs w:val="24"/>
        </w:rPr>
        <w:t>高的評核者會給受評者較低的評核分數。</w:t>
      </w:r>
    </w:p>
    <w:p w:rsidR="008A3100" w:rsidRPr="00467299" w:rsidRDefault="008A3100" w:rsidP="00467299">
      <w:pPr>
        <w:pStyle w:val="ab"/>
        <w:widowControl/>
        <w:spacing w:line="293" w:lineRule="atLeast"/>
        <w:ind w:left="480"/>
        <w:rPr>
          <w:rFonts w:ascii="標楷體" w:eastAsia="標楷體" w:hAnsi="標楷體" w:cs="新細明體"/>
          <w:b/>
          <w:color w:val="000000" w:themeColor="text1"/>
          <w:spacing w:val="-4"/>
          <w:sz w:val="24"/>
          <w:szCs w:val="24"/>
          <w:lang w:eastAsia="zh-TW"/>
        </w:rPr>
      </w:pPr>
    </w:p>
    <w:p w:rsidR="00D475FB" w:rsidRPr="00D475FB" w:rsidRDefault="000D675F" w:rsidP="00467299">
      <w:pPr>
        <w:pStyle w:val="ab"/>
        <w:widowControl/>
        <w:numPr>
          <w:ilvl w:val="0"/>
          <w:numId w:val="5"/>
        </w:numPr>
        <w:spacing w:line="293" w:lineRule="atLeast"/>
        <w:rPr>
          <w:rFonts w:ascii="標楷體" w:eastAsia="標楷體" w:hAnsi="標楷體" w:cs="Times New Roman" w:hint="eastAsia"/>
          <w:color w:val="000000" w:themeColor="text1"/>
          <w:kern w:val="2"/>
          <w:sz w:val="24"/>
          <w:szCs w:val="24"/>
          <w:lang w:eastAsia="zh-TW"/>
        </w:rPr>
      </w:pPr>
      <w:r w:rsidRPr="00467299">
        <w:rPr>
          <w:rFonts w:ascii="標楷體" w:eastAsia="標楷體" w:hAnsi="標楷體" w:cs="新細明體" w:hint="eastAsia"/>
          <w:b/>
          <w:color w:val="000000" w:themeColor="text1"/>
          <w:spacing w:val="-4"/>
          <w:sz w:val="24"/>
          <w:szCs w:val="24"/>
          <w:lang w:eastAsia="zh-TW"/>
        </w:rPr>
        <w:t>自我監控傾向</w:t>
      </w:r>
      <w:r w:rsidRPr="00467299">
        <w:rPr>
          <w:rFonts w:ascii="標楷體" w:eastAsia="標楷體" w:hAnsi="標楷體" w:cs="新細明體"/>
          <w:b/>
          <w:color w:val="000000" w:themeColor="text1"/>
          <w:spacing w:val="-4"/>
          <w:sz w:val="24"/>
          <w:szCs w:val="24"/>
          <w:lang w:eastAsia="zh-TW"/>
        </w:rPr>
        <w:t xml:space="preserve"> (self-monitoring)</w:t>
      </w:r>
      <w:r w:rsidRPr="00467299">
        <w:rPr>
          <w:rFonts w:ascii="標楷體" w:eastAsia="標楷體" w:hAnsi="標楷體" w:cs="新細明體" w:hint="eastAsia"/>
          <w:b/>
          <w:color w:val="000000" w:themeColor="text1"/>
          <w:spacing w:val="-4"/>
          <w:sz w:val="24"/>
          <w:szCs w:val="24"/>
          <w:lang w:eastAsia="zh-TW"/>
        </w:rPr>
        <w:t>：</w:t>
      </w:r>
    </w:p>
    <w:p w:rsidR="000D675F" w:rsidRPr="00971885" w:rsidRDefault="002B7B8B" w:rsidP="00D475FB">
      <w:pPr>
        <w:widowControl/>
        <w:spacing w:line="293" w:lineRule="atLeast"/>
        <w:ind w:leftChars="200" w:left="480" w:firstLineChars="200" w:firstLine="480"/>
        <w:rPr>
          <w:rFonts w:ascii="標楷體" w:eastAsia="標楷體" w:hAnsi="標楷體" w:hint="eastAsia"/>
          <w:color w:val="000000" w:themeColor="text1"/>
          <w:szCs w:val="24"/>
        </w:rPr>
      </w:pPr>
      <w:proofErr w:type="spellStart"/>
      <w:r w:rsidRPr="00971885">
        <w:rPr>
          <w:rFonts w:ascii="標楷體" w:eastAsia="標楷體" w:hAnsi="標楷體"/>
          <w:color w:val="000000" w:themeColor="text1"/>
          <w:szCs w:val="24"/>
        </w:rPr>
        <w:t>Jawahar</w:t>
      </w:r>
      <w:proofErr w:type="spellEnd"/>
      <w:r w:rsidRPr="00971885">
        <w:rPr>
          <w:rFonts w:ascii="標楷體" w:eastAsia="標楷體" w:hAnsi="標楷體"/>
          <w:color w:val="000000" w:themeColor="text1"/>
          <w:szCs w:val="24"/>
        </w:rPr>
        <w:t>(2001)比較評核分數時，發現自我監控傾向 (self-monitoring)高的評核者與自我 監控傾向低的評核者在評分上，前者給予受評者較高的分數。</w:t>
      </w:r>
    </w:p>
    <w:p w:rsidR="000D675F" w:rsidRPr="00971885" w:rsidRDefault="007F4FE4" w:rsidP="00D475FB">
      <w:pPr>
        <w:widowControl/>
        <w:spacing w:line="293" w:lineRule="atLeast"/>
        <w:ind w:leftChars="200" w:left="480" w:firstLineChars="200" w:firstLine="480"/>
        <w:rPr>
          <w:rFonts w:ascii="標楷體" w:eastAsia="標楷體" w:hAnsi="標楷體"/>
          <w:color w:val="000000" w:themeColor="text1"/>
          <w:szCs w:val="24"/>
        </w:rPr>
      </w:pPr>
      <w:r w:rsidRPr="00971885">
        <w:rPr>
          <w:rFonts w:ascii="標楷體" w:eastAsia="標楷體" w:hAnsi="標楷體" w:hint="eastAsia"/>
          <w:color w:val="000000" w:themeColor="text1"/>
          <w:szCs w:val="24"/>
        </w:rPr>
        <w:t>夏榕文、余哲維</w:t>
      </w:r>
      <w:r w:rsidR="00AC68B1" w:rsidRPr="00971885">
        <w:rPr>
          <w:rFonts w:ascii="標楷體" w:eastAsia="標楷體" w:hAnsi="標楷體" w:hint="eastAsia"/>
          <w:color w:val="000000" w:themeColor="text1"/>
          <w:szCs w:val="24"/>
        </w:rPr>
        <w:t>(2005)研究認為評核結果會影響受評者與評核者的未來互動關係，因此自我監控傾向</w:t>
      </w:r>
      <w:r w:rsidR="00AC68B1" w:rsidRPr="00971885">
        <w:rPr>
          <w:rFonts w:ascii="標楷體" w:eastAsia="標楷體" w:hAnsi="標楷體"/>
          <w:color w:val="000000" w:themeColor="text1"/>
          <w:szCs w:val="24"/>
        </w:rPr>
        <w:t xml:space="preserve"> </w:t>
      </w:r>
      <w:r w:rsidR="00AC68B1" w:rsidRPr="00971885">
        <w:rPr>
          <w:rFonts w:ascii="標楷體" w:eastAsia="標楷體" w:hAnsi="標楷體" w:hint="eastAsia"/>
          <w:color w:val="000000" w:themeColor="text1"/>
          <w:szCs w:val="24"/>
        </w:rPr>
        <w:t>高的評核者在評核時會想要得到受評者最大的認同，進而調高受評者的評分。</w:t>
      </w:r>
      <w:r w:rsidR="000D675F" w:rsidRPr="00971885">
        <w:rPr>
          <w:rFonts w:ascii="標楷體" w:eastAsia="標楷體" w:hAnsi="標楷體" w:hint="eastAsia"/>
          <w:color w:val="000000" w:themeColor="text1"/>
          <w:szCs w:val="24"/>
        </w:rPr>
        <w:t>在一項研究中，</w:t>
      </w:r>
      <w:r w:rsidR="000D675F" w:rsidRPr="00971885">
        <w:rPr>
          <w:rFonts w:ascii="標楷體" w:eastAsia="標楷體" w:hAnsi="標楷體"/>
          <w:color w:val="000000" w:themeColor="text1"/>
          <w:szCs w:val="24"/>
        </w:rPr>
        <w:t xml:space="preserve"> </w:t>
      </w:r>
      <w:proofErr w:type="spellStart"/>
      <w:r w:rsidR="000D675F" w:rsidRPr="00971885">
        <w:rPr>
          <w:rFonts w:ascii="標楷體" w:eastAsia="標楷體" w:hAnsi="標楷體"/>
          <w:color w:val="000000" w:themeColor="text1"/>
          <w:szCs w:val="24"/>
        </w:rPr>
        <w:t>Jawahar</w:t>
      </w:r>
      <w:proofErr w:type="spellEnd"/>
      <w:r w:rsidR="000D675F" w:rsidRPr="00971885">
        <w:rPr>
          <w:rFonts w:ascii="標楷體" w:eastAsia="標楷體" w:hAnsi="標楷體"/>
          <w:color w:val="000000" w:themeColor="text1"/>
          <w:szCs w:val="24"/>
        </w:rPr>
        <w:t xml:space="preserve"> </w:t>
      </w:r>
      <w:r w:rsidR="000D675F" w:rsidRPr="00971885">
        <w:rPr>
          <w:rFonts w:ascii="標楷體" w:eastAsia="標楷體" w:hAnsi="標楷體" w:hint="eastAsia"/>
          <w:color w:val="000000" w:themeColor="text1"/>
          <w:szCs w:val="24"/>
        </w:rPr>
        <w:t>與</w:t>
      </w:r>
      <w:r w:rsidR="000D675F" w:rsidRPr="00971885">
        <w:rPr>
          <w:rFonts w:ascii="標楷體" w:eastAsia="標楷體" w:hAnsi="標楷體"/>
          <w:color w:val="000000" w:themeColor="text1"/>
          <w:szCs w:val="24"/>
        </w:rPr>
        <w:t xml:space="preserve"> Stone(1997)</w:t>
      </w:r>
      <w:r w:rsidR="000D675F" w:rsidRPr="00971885">
        <w:rPr>
          <w:rFonts w:ascii="標楷體" w:eastAsia="標楷體" w:hAnsi="標楷體" w:hint="eastAsia"/>
          <w:color w:val="000000" w:themeColor="text1"/>
          <w:szCs w:val="24"/>
        </w:rPr>
        <w:t>以學生為研究對象，結果發現自我監控傾向高者在評核時會產</w:t>
      </w:r>
      <w:r w:rsidR="000D675F" w:rsidRPr="00971885">
        <w:rPr>
          <w:rFonts w:ascii="標楷體" w:eastAsia="標楷體" w:hAnsi="標楷體"/>
          <w:color w:val="000000" w:themeColor="text1"/>
          <w:szCs w:val="24"/>
        </w:rPr>
        <w:t xml:space="preserve"> </w:t>
      </w:r>
      <w:r w:rsidR="000D675F" w:rsidRPr="00971885">
        <w:rPr>
          <w:rFonts w:ascii="標楷體" w:eastAsia="標楷體" w:hAnsi="標楷體" w:hint="eastAsia"/>
          <w:color w:val="000000" w:themeColor="text1"/>
          <w:szCs w:val="24"/>
        </w:rPr>
        <w:t>生較寬鬆的評核分數。在另一個研究中，</w:t>
      </w:r>
      <w:proofErr w:type="spellStart"/>
      <w:r w:rsidR="000D675F" w:rsidRPr="00971885">
        <w:rPr>
          <w:rFonts w:ascii="標楷體" w:eastAsia="標楷體" w:hAnsi="標楷體"/>
          <w:color w:val="000000" w:themeColor="text1"/>
          <w:szCs w:val="24"/>
        </w:rPr>
        <w:t>Jawahar</w:t>
      </w:r>
      <w:proofErr w:type="spellEnd"/>
      <w:r w:rsidR="000D675F" w:rsidRPr="00971885">
        <w:rPr>
          <w:rFonts w:ascii="標楷體" w:eastAsia="標楷體" w:hAnsi="標楷體"/>
          <w:color w:val="000000" w:themeColor="text1"/>
          <w:szCs w:val="24"/>
        </w:rPr>
        <w:t>(2001)</w:t>
      </w:r>
      <w:r w:rsidR="000D675F" w:rsidRPr="00971885">
        <w:rPr>
          <w:rFonts w:ascii="標楷體" w:eastAsia="標楷體" w:hAnsi="標楷體" w:hint="eastAsia"/>
          <w:color w:val="000000" w:themeColor="text1"/>
          <w:szCs w:val="24"/>
        </w:rPr>
        <w:t>以</w:t>
      </w:r>
      <w:r w:rsidR="000D675F" w:rsidRPr="00971885">
        <w:rPr>
          <w:rFonts w:ascii="標楷體" w:eastAsia="標楷體" w:hAnsi="標楷體"/>
          <w:color w:val="000000" w:themeColor="text1"/>
          <w:szCs w:val="24"/>
        </w:rPr>
        <w:t xml:space="preserve"> 210 </w:t>
      </w:r>
      <w:r w:rsidR="000D675F" w:rsidRPr="00971885">
        <w:rPr>
          <w:rFonts w:ascii="標楷體" w:eastAsia="標楷體" w:hAnsi="標楷體" w:hint="eastAsia"/>
          <w:color w:val="000000" w:themeColor="text1"/>
          <w:szCs w:val="24"/>
        </w:rPr>
        <w:t>位經理為研究對象，發</w:t>
      </w:r>
      <w:r w:rsidR="000D675F" w:rsidRPr="00971885">
        <w:rPr>
          <w:rFonts w:ascii="標楷體" w:eastAsia="標楷體" w:hAnsi="標楷體"/>
          <w:color w:val="000000" w:themeColor="text1"/>
          <w:szCs w:val="24"/>
        </w:rPr>
        <w:t xml:space="preserve"> </w:t>
      </w:r>
      <w:r w:rsidR="000D675F" w:rsidRPr="00971885">
        <w:rPr>
          <w:rFonts w:ascii="標楷體" w:eastAsia="標楷體" w:hAnsi="標楷體" w:hint="eastAsia"/>
          <w:color w:val="000000" w:themeColor="text1"/>
          <w:szCs w:val="24"/>
        </w:rPr>
        <w:t>現自我監控傾向高的評核者較低自我監控傾向的評核者給受評者較寬鬆的評核分數。</w:t>
      </w:r>
    </w:p>
    <w:p w:rsidR="000D675F" w:rsidRPr="00467299" w:rsidRDefault="000D675F" w:rsidP="00467299">
      <w:pPr>
        <w:pStyle w:val="ab"/>
        <w:widowControl/>
        <w:spacing w:line="293" w:lineRule="atLeast"/>
        <w:ind w:left="480"/>
        <w:rPr>
          <w:rFonts w:ascii="標楷體" w:eastAsia="標楷體" w:hAnsi="標楷體" w:cs="新細明體"/>
          <w:b/>
          <w:color w:val="000000" w:themeColor="text1"/>
          <w:spacing w:val="-4"/>
          <w:sz w:val="24"/>
          <w:szCs w:val="24"/>
          <w:lang w:eastAsia="zh-TW"/>
        </w:rPr>
      </w:pPr>
    </w:p>
    <w:p w:rsidR="00D475FB" w:rsidRPr="00D475FB" w:rsidRDefault="000D675F" w:rsidP="00467299">
      <w:pPr>
        <w:pStyle w:val="ab"/>
        <w:widowControl/>
        <w:numPr>
          <w:ilvl w:val="0"/>
          <w:numId w:val="5"/>
        </w:numPr>
        <w:spacing w:line="293" w:lineRule="atLeast"/>
        <w:rPr>
          <w:rFonts w:ascii="標楷體" w:eastAsia="標楷體" w:hAnsi="標楷體" w:cs="Times New Roman" w:hint="eastAsia"/>
          <w:color w:val="000000" w:themeColor="text1"/>
          <w:kern w:val="2"/>
          <w:sz w:val="24"/>
          <w:szCs w:val="24"/>
          <w:lang w:eastAsia="zh-TW"/>
        </w:rPr>
      </w:pPr>
      <w:r w:rsidRPr="00467299">
        <w:rPr>
          <w:rFonts w:ascii="標楷體" w:eastAsia="標楷體" w:hAnsi="標楷體" w:cs="新細明體" w:hint="eastAsia"/>
          <w:b/>
          <w:color w:val="000000" w:themeColor="text1"/>
          <w:spacing w:val="-4"/>
          <w:sz w:val="24"/>
          <w:szCs w:val="24"/>
          <w:lang w:eastAsia="zh-TW"/>
        </w:rPr>
        <w:t>外控傾向：</w:t>
      </w:r>
      <w:r w:rsidRPr="00467299">
        <w:rPr>
          <w:rFonts w:ascii="標楷體" w:eastAsia="標楷體" w:hAnsi="標楷體" w:cs="新細明體"/>
          <w:b/>
          <w:color w:val="000000" w:themeColor="text1"/>
          <w:spacing w:val="-4"/>
          <w:sz w:val="24"/>
          <w:szCs w:val="24"/>
          <w:lang w:eastAsia="zh-TW"/>
        </w:rPr>
        <w:t xml:space="preserve"> </w:t>
      </w:r>
    </w:p>
    <w:p w:rsidR="00467299" w:rsidRPr="00971885" w:rsidRDefault="000D675F" w:rsidP="00D475FB">
      <w:pPr>
        <w:widowControl/>
        <w:spacing w:line="293" w:lineRule="atLeast"/>
        <w:ind w:leftChars="200" w:left="480" w:firstLineChars="200" w:firstLine="480"/>
        <w:rPr>
          <w:rFonts w:ascii="標楷體" w:eastAsia="標楷體" w:hAnsi="標楷體" w:hint="eastAsia"/>
          <w:color w:val="000000" w:themeColor="text1"/>
          <w:szCs w:val="24"/>
        </w:rPr>
      </w:pPr>
      <w:r w:rsidRPr="00971885">
        <w:rPr>
          <w:rFonts w:ascii="標楷體" w:eastAsia="標楷體" w:hAnsi="標楷體" w:hint="eastAsia"/>
          <w:color w:val="000000" w:themeColor="text1"/>
          <w:szCs w:val="24"/>
        </w:rPr>
        <w:t>在內外控傾向與法律判決的關係上，在一項研究中，</w:t>
      </w:r>
      <w:r w:rsidRPr="00971885">
        <w:rPr>
          <w:rFonts w:ascii="標楷體" w:eastAsia="標楷體" w:hAnsi="標楷體"/>
          <w:color w:val="000000" w:themeColor="text1"/>
          <w:szCs w:val="24"/>
        </w:rPr>
        <w:t>Carroll</w:t>
      </w:r>
      <w:r w:rsidRPr="00971885">
        <w:rPr>
          <w:rFonts w:ascii="標楷體" w:eastAsia="標楷體" w:hAnsi="標楷體" w:hint="eastAsia"/>
          <w:color w:val="000000" w:themeColor="text1"/>
          <w:szCs w:val="24"/>
        </w:rPr>
        <w:t>、</w:t>
      </w:r>
      <w:proofErr w:type="spellStart"/>
      <w:r w:rsidRPr="00971885">
        <w:rPr>
          <w:rFonts w:ascii="標楷體" w:eastAsia="標楷體" w:hAnsi="標楷體"/>
          <w:color w:val="000000" w:themeColor="text1"/>
          <w:szCs w:val="24"/>
        </w:rPr>
        <w:t>Perkowitz</w:t>
      </w:r>
      <w:proofErr w:type="spellEnd"/>
      <w:r w:rsidRPr="00971885">
        <w:rPr>
          <w:rFonts w:ascii="標楷體" w:eastAsia="標楷體" w:hAnsi="標楷體" w:hint="eastAsia"/>
          <w:color w:val="000000" w:themeColor="text1"/>
          <w:szCs w:val="24"/>
        </w:rPr>
        <w:t>、</w:t>
      </w:r>
      <w:r w:rsidRPr="00971885">
        <w:rPr>
          <w:rFonts w:ascii="標楷體" w:eastAsia="標楷體" w:hAnsi="標楷體"/>
          <w:color w:val="000000" w:themeColor="text1"/>
          <w:szCs w:val="24"/>
        </w:rPr>
        <w:t xml:space="preserve"> </w:t>
      </w:r>
      <w:proofErr w:type="spellStart"/>
      <w:r w:rsidRPr="00971885">
        <w:rPr>
          <w:rFonts w:ascii="標楷體" w:eastAsia="標楷體" w:hAnsi="標楷體"/>
          <w:color w:val="000000" w:themeColor="text1"/>
          <w:szCs w:val="24"/>
        </w:rPr>
        <w:t>Lurigio</w:t>
      </w:r>
      <w:proofErr w:type="spellEnd"/>
      <w:r w:rsidRPr="00971885">
        <w:rPr>
          <w:rFonts w:ascii="標楷體" w:eastAsia="標楷體" w:hAnsi="標楷體" w:hint="eastAsia"/>
          <w:color w:val="000000" w:themeColor="text1"/>
          <w:szCs w:val="24"/>
        </w:rPr>
        <w:t>及</w:t>
      </w:r>
      <w:r w:rsidRPr="00971885">
        <w:rPr>
          <w:rFonts w:ascii="標楷體" w:eastAsia="標楷體" w:hAnsi="標楷體"/>
          <w:color w:val="000000" w:themeColor="text1"/>
          <w:szCs w:val="24"/>
        </w:rPr>
        <w:t xml:space="preserve"> Weaver(1987)</w:t>
      </w:r>
      <w:r w:rsidRPr="00971885">
        <w:rPr>
          <w:rFonts w:ascii="標楷體" w:eastAsia="標楷體" w:hAnsi="標楷體" w:hint="eastAsia"/>
          <w:color w:val="000000" w:themeColor="text1"/>
          <w:szCs w:val="24"/>
        </w:rPr>
        <w:t>發現內控傾向的陪審團員較外控傾向的陪審團員有較嚴格的判決傾向，其原因為內控傾向的陪審團員對被告的行為傾向內部歸因，他們認為犯罪者應該</w:t>
      </w:r>
      <w:r w:rsidRPr="00971885">
        <w:rPr>
          <w:rFonts w:ascii="標楷體" w:eastAsia="標楷體" w:hAnsi="標楷體"/>
          <w:color w:val="000000" w:themeColor="text1"/>
          <w:szCs w:val="24"/>
        </w:rPr>
        <w:t xml:space="preserve"> </w:t>
      </w:r>
      <w:r w:rsidRPr="00971885">
        <w:rPr>
          <w:rFonts w:ascii="標楷體" w:eastAsia="標楷體" w:hAnsi="標楷體" w:hint="eastAsia"/>
          <w:color w:val="000000" w:themeColor="text1"/>
          <w:szCs w:val="24"/>
        </w:rPr>
        <w:t>負起完全的法律責任。相對地，外控傾向的陪審團員對於被告的行為傾向外部歸因，</w:t>
      </w:r>
      <w:r w:rsidRPr="00971885">
        <w:rPr>
          <w:rFonts w:ascii="標楷體" w:eastAsia="標楷體" w:hAnsi="標楷體"/>
          <w:color w:val="000000" w:themeColor="text1"/>
          <w:szCs w:val="24"/>
        </w:rPr>
        <w:t xml:space="preserve"> </w:t>
      </w:r>
      <w:r w:rsidRPr="00971885">
        <w:rPr>
          <w:rFonts w:ascii="標楷體" w:eastAsia="標楷體" w:hAnsi="標楷體" w:hint="eastAsia"/>
          <w:color w:val="000000" w:themeColor="text1"/>
          <w:szCs w:val="24"/>
        </w:rPr>
        <w:t>他們認為被告犯罪的原因可能由於早期家庭問題或是受到環境的逼迫，所以他們給予</w:t>
      </w:r>
      <w:r w:rsidRPr="00971885">
        <w:rPr>
          <w:rFonts w:ascii="標楷體" w:eastAsia="標楷體" w:hAnsi="標楷體"/>
          <w:color w:val="000000" w:themeColor="text1"/>
          <w:szCs w:val="24"/>
        </w:rPr>
        <w:t xml:space="preserve"> </w:t>
      </w:r>
      <w:r w:rsidRPr="00971885">
        <w:rPr>
          <w:rFonts w:ascii="標楷體" w:eastAsia="標楷體" w:hAnsi="標楷體" w:hint="eastAsia"/>
          <w:color w:val="000000" w:themeColor="text1"/>
          <w:szCs w:val="24"/>
        </w:rPr>
        <w:t>被告較輕的刑責。由此可見，內外控傾向者對於他人的歸因傾向會導致不同的推論與</w:t>
      </w:r>
      <w:r w:rsidRPr="00971885">
        <w:rPr>
          <w:rFonts w:ascii="標楷體" w:eastAsia="標楷體" w:hAnsi="標楷體"/>
          <w:color w:val="000000" w:themeColor="text1"/>
          <w:szCs w:val="24"/>
        </w:rPr>
        <w:t xml:space="preserve"> </w:t>
      </w:r>
      <w:r w:rsidRPr="00971885">
        <w:rPr>
          <w:rFonts w:ascii="標楷體" w:eastAsia="標楷體" w:hAnsi="標楷體" w:hint="eastAsia"/>
          <w:color w:val="000000" w:themeColor="text1"/>
          <w:szCs w:val="24"/>
        </w:rPr>
        <w:t>判斷。</w:t>
      </w:r>
    </w:p>
    <w:p w:rsidR="000D675F" w:rsidRPr="00971885" w:rsidRDefault="000D675F" w:rsidP="00D475FB">
      <w:pPr>
        <w:widowControl/>
        <w:spacing w:line="293" w:lineRule="atLeast"/>
        <w:ind w:leftChars="200" w:left="480" w:firstLineChars="200" w:firstLine="480"/>
        <w:rPr>
          <w:rFonts w:ascii="標楷體" w:eastAsia="標楷體" w:hAnsi="標楷體"/>
          <w:color w:val="000000" w:themeColor="text1"/>
          <w:szCs w:val="24"/>
        </w:rPr>
      </w:pPr>
      <w:r w:rsidRPr="00971885">
        <w:rPr>
          <w:rFonts w:ascii="標楷體" w:eastAsia="標楷體" w:hAnsi="標楷體" w:hint="eastAsia"/>
          <w:color w:val="000000" w:themeColor="text1"/>
          <w:szCs w:val="24"/>
        </w:rPr>
        <w:t>從學者過去的實證中得知，外控傾向者通常較有依賴性，也具有較高的他人導向，</w:t>
      </w:r>
      <w:r w:rsidRPr="00971885">
        <w:rPr>
          <w:rFonts w:ascii="標楷體" w:eastAsia="標楷體" w:hAnsi="標楷體"/>
          <w:color w:val="000000" w:themeColor="text1"/>
          <w:szCs w:val="24"/>
        </w:rPr>
        <w:t xml:space="preserve"> </w:t>
      </w:r>
      <w:r w:rsidRPr="00971885">
        <w:rPr>
          <w:rFonts w:ascii="標楷體" w:eastAsia="標楷體" w:hAnsi="標楷體" w:hint="eastAsia"/>
          <w:color w:val="000000" w:themeColor="text1"/>
          <w:szCs w:val="24"/>
        </w:rPr>
        <w:t>他們比較關心別人認為重要的事情，也較關注其他人的行事與態度，並作為個人行為</w:t>
      </w:r>
      <w:r w:rsidRPr="00971885">
        <w:rPr>
          <w:rFonts w:ascii="標楷體" w:eastAsia="標楷體" w:hAnsi="標楷體"/>
          <w:color w:val="000000" w:themeColor="text1"/>
          <w:szCs w:val="24"/>
        </w:rPr>
        <w:t xml:space="preserve"> </w:t>
      </w:r>
      <w:r w:rsidRPr="00971885">
        <w:rPr>
          <w:rFonts w:ascii="標楷體" w:eastAsia="標楷體" w:hAnsi="標楷體" w:hint="eastAsia"/>
          <w:color w:val="000000" w:themeColor="text1"/>
          <w:szCs w:val="24"/>
        </w:rPr>
        <w:t>的重要依據</w:t>
      </w:r>
      <w:r w:rsidRPr="00971885">
        <w:rPr>
          <w:rFonts w:ascii="標楷體" w:eastAsia="標楷體" w:hAnsi="標楷體"/>
          <w:color w:val="000000" w:themeColor="text1"/>
          <w:szCs w:val="24"/>
        </w:rPr>
        <w:t>(O’Connor &amp; Morrison,2001)</w:t>
      </w:r>
      <w:r w:rsidRPr="00971885">
        <w:rPr>
          <w:rFonts w:ascii="標楷體" w:eastAsia="標楷體" w:hAnsi="標楷體" w:hint="eastAsia"/>
          <w:color w:val="000000" w:themeColor="text1"/>
          <w:szCs w:val="24"/>
        </w:rPr>
        <w:t>，所以外控傾向的評核者在評核時會在意受評者對評核結果的態度，因為受到受評者期待的影響，所以他們可能會調高受評者的評分。</w:t>
      </w:r>
    </w:p>
    <w:p w:rsidR="000D675F" w:rsidRPr="00467299" w:rsidRDefault="000D675F" w:rsidP="00467299">
      <w:pPr>
        <w:pStyle w:val="ab"/>
        <w:widowControl/>
        <w:spacing w:line="293" w:lineRule="atLeast"/>
        <w:ind w:left="480"/>
        <w:rPr>
          <w:rFonts w:ascii="標楷體" w:eastAsia="標楷體" w:hAnsi="標楷體" w:cs="新細明體"/>
          <w:b/>
          <w:color w:val="000000" w:themeColor="text1"/>
          <w:spacing w:val="-4"/>
          <w:sz w:val="24"/>
          <w:szCs w:val="24"/>
          <w:lang w:eastAsia="zh-TW"/>
        </w:rPr>
      </w:pPr>
    </w:p>
    <w:p w:rsidR="00D475FB" w:rsidRPr="00D475FB" w:rsidRDefault="000D675F" w:rsidP="00467299">
      <w:pPr>
        <w:pStyle w:val="ab"/>
        <w:widowControl/>
        <w:numPr>
          <w:ilvl w:val="0"/>
          <w:numId w:val="5"/>
        </w:numPr>
        <w:spacing w:line="293" w:lineRule="atLeast"/>
        <w:rPr>
          <w:rFonts w:ascii="標楷體" w:eastAsia="標楷體" w:hAnsi="標楷體" w:cs="新細明體" w:hint="eastAsia"/>
          <w:color w:val="000000" w:themeColor="text1"/>
          <w:spacing w:val="-4"/>
          <w:sz w:val="24"/>
          <w:szCs w:val="24"/>
          <w:lang w:eastAsia="zh-TW"/>
        </w:rPr>
      </w:pPr>
      <w:r w:rsidRPr="00467299">
        <w:rPr>
          <w:rFonts w:ascii="標楷體" w:eastAsia="標楷體" w:hAnsi="標楷體" w:cs="新細明體" w:hint="eastAsia"/>
          <w:b/>
          <w:color w:val="000000" w:themeColor="text1"/>
          <w:spacing w:val="-4"/>
          <w:sz w:val="24"/>
          <w:szCs w:val="24"/>
          <w:lang w:eastAsia="zh-TW"/>
        </w:rPr>
        <w:t>和善傾向</w:t>
      </w:r>
      <w:r w:rsidR="003938F2" w:rsidRPr="00467299">
        <w:rPr>
          <w:rFonts w:ascii="標楷體" w:eastAsia="標楷體" w:hAnsi="標楷體" w:cs="新細明體" w:hint="eastAsia"/>
          <w:b/>
          <w:color w:val="000000" w:themeColor="text1"/>
          <w:spacing w:val="-4"/>
          <w:sz w:val="24"/>
          <w:szCs w:val="24"/>
          <w:lang w:eastAsia="zh-TW"/>
        </w:rPr>
        <w:t>：</w:t>
      </w:r>
    </w:p>
    <w:p w:rsidR="00565C7D" w:rsidRPr="00D475FB" w:rsidRDefault="000D675F" w:rsidP="00D475FB">
      <w:pPr>
        <w:widowControl/>
        <w:spacing w:line="293" w:lineRule="atLeast"/>
        <w:ind w:leftChars="200" w:left="480" w:firstLineChars="200" w:firstLine="480"/>
        <w:rPr>
          <w:rFonts w:ascii="標楷體" w:eastAsia="標楷體" w:hAnsi="標楷體"/>
          <w:color w:val="000000" w:themeColor="text1"/>
          <w:szCs w:val="24"/>
        </w:rPr>
      </w:pPr>
      <w:r w:rsidRPr="00971885">
        <w:rPr>
          <w:rFonts w:ascii="標楷體" w:eastAsia="標楷體" w:hAnsi="標楷體" w:hint="eastAsia"/>
          <w:color w:val="000000" w:themeColor="text1"/>
          <w:szCs w:val="24"/>
        </w:rPr>
        <w:t>在一項研究中，</w:t>
      </w:r>
      <w:proofErr w:type="spellStart"/>
      <w:r w:rsidRPr="00971885">
        <w:rPr>
          <w:rFonts w:ascii="標楷體" w:eastAsia="標楷體" w:hAnsi="標楷體"/>
          <w:color w:val="000000" w:themeColor="text1"/>
          <w:szCs w:val="24"/>
        </w:rPr>
        <w:t>Bernardin</w:t>
      </w:r>
      <w:proofErr w:type="spellEnd"/>
      <w:r w:rsidRPr="00971885">
        <w:rPr>
          <w:rFonts w:ascii="標楷體" w:eastAsia="標楷體" w:hAnsi="標楷體"/>
          <w:color w:val="000000" w:themeColor="text1"/>
          <w:szCs w:val="24"/>
        </w:rPr>
        <w:t xml:space="preserve"> </w:t>
      </w:r>
      <w:r w:rsidRPr="00971885">
        <w:rPr>
          <w:rFonts w:ascii="標楷體" w:eastAsia="標楷體" w:hAnsi="標楷體" w:hint="eastAsia"/>
          <w:color w:val="000000" w:themeColor="text1"/>
          <w:szCs w:val="24"/>
        </w:rPr>
        <w:t>等人</w:t>
      </w:r>
      <w:r w:rsidRPr="00971885">
        <w:rPr>
          <w:rFonts w:ascii="標楷體" w:eastAsia="標楷體" w:hAnsi="標楷體"/>
          <w:color w:val="000000" w:themeColor="text1"/>
          <w:szCs w:val="24"/>
        </w:rPr>
        <w:t>(2000)</w:t>
      </w:r>
      <w:r w:rsidRPr="00971885">
        <w:rPr>
          <w:rFonts w:ascii="標楷體" w:eastAsia="標楷體" w:hAnsi="標楷體" w:hint="eastAsia"/>
          <w:color w:val="000000" w:themeColor="text1"/>
          <w:szCs w:val="24"/>
        </w:rPr>
        <w:t>發</w:t>
      </w:r>
      <w:r w:rsidRPr="00971885">
        <w:rPr>
          <w:rFonts w:ascii="標楷體" w:eastAsia="標楷體" w:hAnsi="標楷體"/>
          <w:color w:val="000000" w:themeColor="text1"/>
          <w:szCs w:val="24"/>
        </w:rPr>
        <w:t xml:space="preserve"> </w:t>
      </w:r>
      <w:r w:rsidRPr="00971885">
        <w:rPr>
          <w:rFonts w:ascii="標楷體" w:eastAsia="標楷體" w:hAnsi="標楷體" w:hint="eastAsia"/>
          <w:color w:val="000000" w:themeColor="text1"/>
          <w:szCs w:val="24"/>
        </w:rPr>
        <w:t>現和善傾向高的評核者會給受評者較高的評核分數。在另一個研究中，</w:t>
      </w:r>
      <w:r w:rsidRPr="00971885">
        <w:rPr>
          <w:rFonts w:ascii="標楷體" w:eastAsia="標楷體" w:hAnsi="標楷體"/>
          <w:color w:val="000000" w:themeColor="text1"/>
          <w:szCs w:val="24"/>
        </w:rPr>
        <w:t xml:space="preserve">Bartels </w:t>
      </w:r>
      <w:r w:rsidRPr="00971885">
        <w:rPr>
          <w:rFonts w:ascii="標楷體" w:eastAsia="標楷體" w:hAnsi="標楷體" w:hint="eastAsia"/>
          <w:color w:val="000000" w:themeColor="text1"/>
          <w:szCs w:val="24"/>
        </w:rPr>
        <w:t>與</w:t>
      </w:r>
      <w:r w:rsidRPr="00971885">
        <w:rPr>
          <w:rFonts w:ascii="標楷體" w:eastAsia="標楷體" w:hAnsi="標楷體"/>
          <w:color w:val="000000" w:themeColor="text1"/>
          <w:szCs w:val="24"/>
        </w:rPr>
        <w:t xml:space="preserve"> </w:t>
      </w:r>
      <w:proofErr w:type="spellStart"/>
      <w:r w:rsidRPr="00971885">
        <w:rPr>
          <w:rFonts w:ascii="標楷體" w:eastAsia="標楷體" w:hAnsi="標楷體"/>
          <w:color w:val="000000" w:themeColor="text1"/>
          <w:szCs w:val="24"/>
        </w:rPr>
        <w:t>Doverspike</w:t>
      </w:r>
      <w:proofErr w:type="spellEnd"/>
      <w:r w:rsidRPr="00971885">
        <w:rPr>
          <w:rFonts w:ascii="標楷體" w:eastAsia="標楷體" w:hAnsi="標楷體"/>
          <w:color w:val="000000" w:themeColor="text1"/>
          <w:szCs w:val="24"/>
        </w:rPr>
        <w:t xml:space="preserve"> (1997)</w:t>
      </w:r>
      <w:r w:rsidRPr="00971885">
        <w:rPr>
          <w:rFonts w:ascii="標楷體" w:eastAsia="標楷體" w:hAnsi="標楷體" w:hint="eastAsia"/>
          <w:color w:val="000000" w:themeColor="text1"/>
          <w:szCs w:val="24"/>
        </w:rPr>
        <w:t>針對</w:t>
      </w:r>
      <w:r w:rsidRPr="00971885">
        <w:rPr>
          <w:rFonts w:ascii="標楷體" w:eastAsia="標楷體" w:hAnsi="標楷體"/>
          <w:color w:val="000000" w:themeColor="text1"/>
          <w:szCs w:val="24"/>
        </w:rPr>
        <w:t xml:space="preserve"> 26 </w:t>
      </w:r>
      <w:r w:rsidRPr="00971885">
        <w:rPr>
          <w:rFonts w:ascii="標楷體" w:eastAsia="標楷體" w:hAnsi="標楷體" w:hint="eastAsia"/>
          <w:color w:val="000000" w:themeColor="text1"/>
          <w:szCs w:val="24"/>
        </w:rPr>
        <w:t>位評估中心</w:t>
      </w:r>
      <w:r w:rsidRPr="00971885">
        <w:rPr>
          <w:rFonts w:ascii="標楷體" w:eastAsia="標楷體" w:hAnsi="標楷體"/>
          <w:color w:val="000000" w:themeColor="text1"/>
          <w:szCs w:val="24"/>
        </w:rPr>
        <w:t>(assessment center)</w:t>
      </w:r>
      <w:r w:rsidRPr="00971885">
        <w:rPr>
          <w:rFonts w:ascii="標楷體" w:eastAsia="標楷體" w:hAnsi="標楷體" w:hint="eastAsia"/>
          <w:color w:val="000000" w:themeColor="text1"/>
          <w:szCs w:val="24"/>
        </w:rPr>
        <w:t>的評核者進行研究，結果亦發</w:t>
      </w:r>
      <w:r w:rsidRPr="00971885">
        <w:rPr>
          <w:rFonts w:ascii="標楷體" w:eastAsia="標楷體" w:hAnsi="標楷體"/>
          <w:color w:val="000000" w:themeColor="text1"/>
          <w:szCs w:val="24"/>
        </w:rPr>
        <w:t xml:space="preserve"> </w:t>
      </w:r>
      <w:r w:rsidRPr="00971885">
        <w:rPr>
          <w:rFonts w:ascii="標楷體" w:eastAsia="標楷體" w:hAnsi="標楷體" w:hint="eastAsia"/>
          <w:color w:val="000000" w:themeColor="text1"/>
          <w:szCs w:val="24"/>
        </w:rPr>
        <w:t>現和善傾向高的評核者會給受評者較高的評核分數。</w:t>
      </w:r>
    </w:p>
    <w:p w:rsidR="009A5A9E" w:rsidRPr="00565C7D" w:rsidRDefault="00565C7D" w:rsidP="00565C7D">
      <w:pPr>
        <w:widowControl/>
        <w:rPr>
          <w:rFonts w:ascii="標楷體" w:eastAsia="標楷體" w:hAnsi="標楷體" w:cs="新細明體" w:hint="eastAsia"/>
          <w:color w:val="000000" w:themeColor="text1"/>
          <w:spacing w:val="-4"/>
          <w:kern w:val="0"/>
          <w:szCs w:val="24"/>
        </w:rPr>
      </w:pPr>
      <w:r>
        <w:rPr>
          <w:rFonts w:ascii="標楷體" w:eastAsia="標楷體" w:hAnsi="標楷體" w:cs="新細明體"/>
          <w:color w:val="000000" w:themeColor="text1"/>
          <w:spacing w:val="-4"/>
          <w:szCs w:val="24"/>
        </w:rPr>
        <w:br w:type="page"/>
      </w:r>
    </w:p>
    <w:p w:rsidR="00EE29C5" w:rsidRPr="009A5A9E" w:rsidRDefault="00EE29C5" w:rsidP="009A5A9E">
      <w:pPr>
        <w:pStyle w:val="ab"/>
        <w:numPr>
          <w:ilvl w:val="0"/>
          <w:numId w:val="3"/>
        </w:numPr>
        <w:rPr>
          <w:rFonts w:ascii="標楷體" w:eastAsia="標楷體" w:hAnsi="標楷體" w:hint="eastAsia"/>
          <w:b/>
          <w:color w:val="000000" w:themeColor="text1"/>
          <w:sz w:val="28"/>
          <w:szCs w:val="24"/>
        </w:rPr>
      </w:pPr>
      <w:proofErr w:type="spellStart"/>
      <w:r w:rsidRPr="009A5A9E">
        <w:rPr>
          <w:rFonts w:ascii="標楷體" w:eastAsia="標楷體" w:hAnsi="標楷體" w:hint="eastAsia"/>
          <w:b/>
          <w:color w:val="000000" w:themeColor="text1"/>
          <w:sz w:val="28"/>
          <w:szCs w:val="24"/>
        </w:rPr>
        <w:lastRenderedPageBreak/>
        <w:t>結語</w:t>
      </w:r>
      <w:proofErr w:type="spellEnd"/>
    </w:p>
    <w:p w:rsidR="00AC68B1" w:rsidRPr="006423CA" w:rsidRDefault="004F24FF" w:rsidP="004F24FF">
      <w:pPr>
        <w:autoSpaceDE w:val="0"/>
        <w:autoSpaceDN w:val="0"/>
        <w:adjustRightInd w:val="0"/>
        <w:ind w:firstLineChars="189" w:firstLine="461"/>
        <w:rPr>
          <w:rFonts w:ascii="標楷體" w:eastAsia="標楷體" w:hAnsi="標楷體"/>
          <w:color w:val="000000" w:themeColor="text1"/>
          <w:szCs w:val="24"/>
          <w:shd w:val="clear" w:color="auto" w:fill="FFFFFF"/>
        </w:rPr>
      </w:pPr>
      <w:r>
        <w:rPr>
          <w:rFonts w:ascii="標楷體" w:eastAsia="標楷體" w:hAnsi="標楷體" w:hint="eastAsia"/>
          <w:color w:val="000000" w:themeColor="text1"/>
          <w:spacing w:val="2"/>
          <w:szCs w:val="24"/>
        </w:rPr>
        <w:t xml:space="preserve"> </w:t>
      </w:r>
      <w:r w:rsidR="00EE29C5" w:rsidRPr="006423CA">
        <w:rPr>
          <w:rFonts w:ascii="標楷體" w:eastAsia="標楷體" w:hAnsi="標楷體" w:hint="eastAsia"/>
          <w:color w:val="000000" w:themeColor="text1"/>
          <w:spacing w:val="2"/>
          <w:szCs w:val="24"/>
        </w:rPr>
        <w:t>宥</w:t>
      </w:r>
      <w:r w:rsidR="00AC68B1" w:rsidRPr="006423CA">
        <w:rPr>
          <w:rFonts w:ascii="標楷體" w:eastAsia="標楷體" w:hAnsi="標楷體" w:hint="eastAsia"/>
          <w:color w:val="000000" w:themeColor="text1"/>
          <w:spacing w:val="2"/>
          <w:szCs w:val="24"/>
        </w:rPr>
        <w:t>於資料收集以及時間因素，</w:t>
      </w:r>
      <w:r w:rsidR="00EE29C5" w:rsidRPr="006423CA">
        <w:rPr>
          <w:rFonts w:ascii="標楷體" w:eastAsia="標楷體" w:hAnsi="標楷體" w:hint="eastAsia"/>
          <w:color w:val="000000" w:themeColor="text1"/>
          <w:spacing w:val="2"/>
          <w:szCs w:val="24"/>
        </w:rPr>
        <w:t>本文</w:t>
      </w:r>
      <w:r w:rsidR="00AC68B1" w:rsidRPr="006423CA">
        <w:rPr>
          <w:rFonts w:ascii="標楷體" w:eastAsia="標楷體" w:hAnsi="標楷體" w:hint="eastAsia"/>
          <w:color w:val="000000" w:themeColor="text1"/>
          <w:spacing w:val="2"/>
          <w:szCs w:val="24"/>
        </w:rPr>
        <w:t>未能進一步</w:t>
      </w:r>
      <w:r w:rsidR="00AC68B1" w:rsidRPr="006423CA">
        <w:rPr>
          <w:rFonts w:ascii="標楷體" w:eastAsia="標楷體" w:hAnsi="標楷體" w:hint="eastAsia"/>
          <w:color w:val="000000" w:themeColor="text1"/>
          <w:szCs w:val="24"/>
        </w:rPr>
        <w:t>作較為完整之實證研究</w:t>
      </w:r>
      <w:r w:rsidR="00AC68B1" w:rsidRPr="006423CA">
        <w:rPr>
          <w:rFonts w:ascii="標楷體" w:eastAsia="標楷體" w:hAnsi="標楷體" w:hint="eastAsia"/>
          <w:color w:val="000000" w:themeColor="text1"/>
          <w:spacing w:val="2"/>
          <w:szCs w:val="24"/>
        </w:rPr>
        <w:t>，以獲得更</w:t>
      </w:r>
      <w:r w:rsidR="00EE29C5" w:rsidRPr="006423CA">
        <w:rPr>
          <w:rFonts w:ascii="標楷體" w:eastAsia="標楷體" w:hAnsi="標楷體" w:hint="eastAsia"/>
          <w:color w:val="000000" w:themeColor="text1"/>
          <w:spacing w:val="2"/>
          <w:szCs w:val="24"/>
        </w:rPr>
        <w:t xml:space="preserve">     </w:t>
      </w:r>
      <w:r w:rsidR="00AC68B1" w:rsidRPr="006423CA">
        <w:rPr>
          <w:rFonts w:ascii="標楷體" w:eastAsia="標楷體" w:hAnsi="標楷體" w:hint="eastAsia"/>
          <w:color w:val="000000" w:themeColor="text1"/>
          <w:spacing w:val="2"/>
          <w:szCs w:val="24"/>
        </w:rPr>
        <w:t>可</w:t>
      </w:r>
      <w:r w:rsidR="00EE29C5" w:rsidRPr="006423CA">
        <w:rPr>
          <w:rFonts w:ascii="標楷體" w:eastAsia="標楷體" w:hAnsi="標楷體" w:hint="eastAsia"/>
          <w:color w:val="000000" w:themeColor="text1"/>
          <w:spacing w:val="2"/>
          <w:szCs w:val="24"/>
        </w:rPr>
        <w:t>靠</w:t>
      </w:r>
      <w:r w:rsidR="00AC68B1" w:rsidRPr="006423CA">
        <w:rPr>
          <w:rFonts w:ascii="標楷體" w:eastAsia="標楷體" w:hAnsi="標楷體" w:hint="eastAsia"/>
          <w:color w:val="000000" w:themeColor="text1"/>
          <w:spacing w:val="2"/>
          <w:szCs w:val="24"/>
        </w:rPr>
        <w:t>與有效之結果，</w:t>
      </w:r>
      <w:r w:rsidR="00EE29C5" w:rsidRPr="006423CA">
        <w:rPr>
          <w:rFonts w:ascii="標楷體" w:eastAsia="標楷體" w:hAnsi="標楷體" w:hint="eastAsia"/>
          <w:color w:val="000000" w:themeColor="text1"/>
          <w:spacing w:val="2"/>
          <w:szCs w:val="24"/>
        </w:rPr>
        <w:t>但其</w:t>
      </w:r>
      <w:r w:rsidR="00AC68B1" w:rsidRPr="006423CA">
        <w:rPr>
          <w:rFonts w:ascii="標楷體" w:eastAsia="標楷體" w:hAnsi="標楷體" w:hint="eastAsia"/>
          <w:color w:val="000000" w:themeColor="text1"/>
          <w:spacing w:val="2"/>
          <w:szCs w:val="24"/>
        </w:rPr>
        <w:t>最大</w:t>
      </w:r>
      <w:r w:rsidR="00AC68B1" w:rsidRPr="006423CA">
        <w:rPr>
          <w:rFonts w:ascii="標楷體" w:eastAsia="標楷體" w:hAnsi="標楷體" w:hint="eastAsia"/>
          <w:color w:val="000000" w:themeColor="text1"/>
          <w:szCs w:val="24"/>
          <w:shd w:val="clear" w:color="auto" w:fill="FFFFFF"/>
        </w:rPr>
        <w:t>目的是能拋磚引玉，提供大家思考。</w:t>
      </w:r>
    </w:p>
    <w:p w:rsidR="00565C7D" w:rsidRDefault="00565C7D" w:rsidP="001B03DE">
      <w:pPr>
        <w:spacing w:line="304" w:lineRule="auto"/>
        <w:jc w:val="both"/>
        <w:rPr>
          <w:rFonts w:ascii="標楷體" w:eastAsia="標楷體" w:hAnsi="標楷體" w:hint="eastAsia"/>
          <w:color w:val="000000" w:themeColor="text1"/>
          <w:szCs w:val="24"/>
        </w:rPr>
      </w:pPr>
    </w:p>
    <w:p w:rsidR="00565C7D" w:rsidRPr="00565C7D" w:rsidRDefault="00565C7D" w:rsidP="00565C7D">
      <w:pPr>
        <w:pStyle w:val="ab"/>
        <w:ind w:left="480"/>
        <w:rPr>
          <w:rFonts w:ascii="標楷體" w:eastAsia="標楷體" w:hAnsi="標楷體" w:hint="eastAsia"/>
          <w:b/>
          <w:color w:val="000000" w:themeColor="text1"/>
          <w:sz w:val="28"/>
          <w:szCs w:val="24"/>
          <w:lang w:eastAsia="zh-TW"/>
        </w:rPr>
      </w:pPr>
    </w:p>
    <w:p w:rsidR="00EE29C5" w:rsidRPr="00565C7D" w:rsidRDefault="00DD3971" w:rsidP="00565C7D">
      <w:pPr>
        <w:pStyle w:val="ab"/>
        <w:numPr>
          <w:ilvl w:val="0"/>
          <w:numId w:val="3"/>
        </w:numPr>
        <w:rPr>
          <w:rFonts w:ascii="標楷體" w:eastAsia="標楷體" w:hAnsi="標楷體"/>
          <w:b/>
          <w:color w:val="000000" w:themeColor="text1"/>
          <w:sz w:val="28"/>
          <w:szCs w:val="24"/>
        </w:rPr>
      </w:pPr>
      <w:proofErr w:type="spellStart"/>
      <w:r w:rsidRPr="00565C7D">
        <w:rPr>
          <w:rFonts w:ascii="標楷體" w:eastAsia="標楷體" w:hAnsi="標楷體" w:hint="eastAsia"/>
          <w:b/>
          <w:color w:val="000000" w:themeColor="text1"/>
          <w:sz w:val="28"/>
          <w:szCs w:val="24"/>
        </w:rPr>
        <w:t>參考</w:t>
      </w:r>
      <w:r w:rsidR="00EE29C5" w:rsidRPr="00565C7D">
        <w:rPr>
          <w:rFonts w:ascii="標楷體" w:eastAsia="標楷體" w:hAnsi="標楷體" w:hint="eastAsia"/>
          <w:b/>
          <w:color w:val="000000" w:themeColor="text1"/>
          <w:sz w:val="28"/>
          <w:szCs w:val="24"/>
        </w:rPr>
        <w:t>資料</w:t>
      </w:r>
      <w:proofErr w:type="spellEnd"/>
    </w:p>
    <w:p w:rsidR="00DD3971" w:rsidRPr="006423CA" w:rsidRDefault="00DD3971" w:rsidP="00EE29C5">
      <w:pPr>
        <w:pStyle w:val="Heading3"/>
        <w:ind w:left="3902" w:right="3905"/>
        <w:jc w:val="center"/>
        <w:rPr>
          <w:rFonts w:ascii="標楷體" w:eastAsia="標楷體" w:hAnsi="標楷體" w:cs="新細明體"/>
          <w:color w:val="000000" w:themeColor="text1"/>
          <w:sz w:val="24"/>
          <w:szCs w:val="24"/>
          <w:lang w:eastAsia="zh-TW"/>
        </w:rPr>
      </w:pPr>
    </w:p>
    <w:p w:rsidR="00DD3971" w:rsidRPr="00487B62" w:rsidRDefault="0004094C" w:rsidP="00487B62">
      <w:pPr>
        <w:pStyle w:val="ab"/>
        <w:numPr>
          <w:ilvl w:val="0"/>
          <w:numId w:val="2"/>
        </w:numPr>
        <w:spacing w:line="292" w:lineRule="auto"/>
        <w:ind w:left="482" w:rightChars="42" w:right="101" w:hanging="482"/>
        <w:rPr>
          <w:rFonts w:ascii="標楷體" w:eastAsia="標楷體" w:hAnsi="標楷體"/>
          <w:color w:val="000000" w:themeColor="text1"/>
          <w:sz w:val="24"/>
          <w:szCs w:val="24"/>
        </w:rPr>
      </w:pPr>
      <w:r w:rsidRPr="00487B62">
        <w:rPr>
          <w:rFonts w:ascii="標楷體" w:eastAsia="標楷體" w:hAnsi="標楷體" w:cs="Times New Roman"/>
          <w:color w:val="000000" w:themeColor="text1"/>
          <w:spacing w:val="2"/>
          <w:kern w:val="2"/>
          <w:sz w:val="24"/>
          <w:szCs w:val="24"/>
          <w:lang w:eastAsia="zh-TW"/>
        </w:rPr>
        <w:t>勞動部勞力發展署</w:t>
      </w:r>
      <w:r w:rsidR="00E55DA6" w:rsidRPr="00487B62">
        <w:rPr>
          <w:rFonts w:ascii="標楷體" w:eastAsia="標楷體" w:hAnsi="標楷體" w:cs="Times New Roman"/>
          <w:color w:val="000000" w:themeColor="text1"/>
          <w:spacing w:val="2"/>
          <w:kern w:val="2"/>
          <w:sz w:val="24"/>
          <w:szCs w:val="24"/>
          <w:lang w:eastAsia="zh-TW"/>
        </w:rPr>
        <w:t xml:space="preserve"> </w:t>
      </w:r>
      <w:r w:rsidR="00DD3971" w:rsidRPr="00487B62">
        <w:rPr>
          <w:rFonts w:ascii="標楷體" w:eastAsia="標楷體" w:hAnsi="標楷體" w:cs="Times New Roman"/>
          <w:color w:val="000000" w:themeColor="text1"/>
          <w:spacing w:val="2"/>
          <w:kern w:val="2"/>
          <w:sz w:val="24"/>
          <w:szCs w:val="24"/>
          <w:lang w:eastAsia="zh-TW"/>
        </w:rPr>
        <w:t>(民</w:t>
      </w:r>
      <w:r w:rsidRPr="00487B62">
        <w:rPr>
          <w:rFonts w:ascii="標楷體" w:eastAsia="標楷體" w:hAnsi="標楷體" w:cs="Times New Roman"/>
          <w:color w:val="000000" w:themeColor="text1"/>
          <w:spacing w:val="2"/>
          <w:kern w:val="2"/>
          <w:sz w:val="24"/>
          <w:szCs w:val="24"/>
          <w:lang w:eastAsia="zh-TW"/>
        </w:rPr>
        <w:t>10</w:t>
      </w:r>
      <w:r w:rsidR="00E55DA6" w:rsidRPr="00487B62">
        <w:rPr>
          <w:rFonts w:ascii="標楷體" w:eastAsia="標楷體" w:hAnsi="標楷體" w:cs="Times New Roman"/>
          <w:color w:val="000000" w:themeColor="text1"/>
          <w:spacing w:val="2"/>
          <w:kern w:val="2"/>
          <w:sz w:val="24"/>
          <w:szCs w:val="24"/>
          <w:lang w:eastAsia="zh-TW"/>
        </w:rPr>
        <w:t>4</w:t>
      </w:r>
      <w:r w:rsidR="00DD3971" w:rsidRPr="00487B62">
        <w:rPr>
          <w:rFonts w:ascii="標楷體" w:eastAsia="標楷體" w:hAnsi="標楷體" w:cs="Times New Roman"/>
          <w:color w:val="000000" w:themeColor="text1"/>
          <w:spacing w:val="2"/>
          <w:kern w:val="2"/>
          <w:sz w:val="24"/>
          <w:szCs w:val="24"/>
          <w:lang w:eastAsia="zh-TW"/>
        </w:rPr>
        <w:t>)，</w:t>
      </w:r>
      <w:r w:rsidR="00E55DA6" w:rsidRPr="00487B62">
        <w:rPr>
          <w:rFonts w:ascii="標楷體" w:eastAsia="標楷體" w:hAnsi="標楷體" w:cs="Times New Roman"/>
          <w:color w:val="000000" w:themeColor="text1"/>
          <w:spacing w:val="2"/>
          <w:kern w:val="2"/>
          <w:sz w:val="24"/>
          <w:szCs w:val="24"/>
          <w:lang w:eastAsia="zh-TW"/>
        </w:rPr>
        <w:t>「TTQS 說明手冊」</w:t>
      </w:r>
      <w:r w:rsidR="00DD3971" w:rsidRPr="00487B62">
        <w:rPr>
          <w:rFonts w:ascii="標楷體" w:eastAsia="標楷體" w:hAnsi="標楷體"/>
          <w:color w:val="000000" w:themeColor="text1"/>
          <w:sz w:val="24"/>
          <w:szCs w:val="24"/>
        </w:rPr>
        <w:t>。</w:t>
      </w:r>
    </w:p>
    <w:p w:rsidR="006A3978" w:rsidRPr="00487B62" w:rsidRDefault="0004094C" w:rsidP="00487B62">
      <w:pPr>
        <w:pStyle w:val="a9"/>
        <w:numPr>
          <w:ilvl w:val="0"/>
          <w:numId w:val="2"/>
        </w:numPr>
        <w:spacing w:before="0" w:line="302" w:lineRule="auto"/>
        <w:ind w:left="482" w:rightChars="42" w:right="101" w:hanging="482"/>
        <w:rPr>
          <w:rFonts w:ascii="標楷體" w:eastAsia="標楷體" w:hAnsi="標楷體" w:cs="Times New Roman" w:hint="eastAsia"/>
          <w:color w:val="000000" w:themeColor="text1"/>
          <w:lang w:eastAsia="zh-TW"/>
        </w:rPr>
      </w:pPr>
      <w:r w:rsidRPr="00487B62">
        <w:rPr>
          <w:rFonts w:ascii="標楷體" w:eastAsia="標楷體" w:hAnsi="標楷體" w:cs="Times New Roman"/>
          <w:color w:val="000000" w:themeColor="text1"/>
          <w:spacing w:val="2"/>
          <w:kern w:val="2"/>
          <w:lang w:eastAsia="zh-TW"/>
        </w:rPr>
        <w:t xml:space="preserve">黃惇勝 </w:t>
      </w:r>
      <w:r w:rsidR="00DD3971" w:rsidRPr="00487B62">
        <w:rPr>
          <w:rFonts w:ascii="標楷體" w:eastAsia="標楷體" w:hAnsi="標楷體" w:cs="Times New Roman"/>
          <w:color w:val="000000" w:themeColor="text1"/>
          <w:spacing w:val="2"/>
          <w:kern w:val="2"/>
          <w:lang w:eastAsia="zh-TW"/>
        </w:rPr>
        <w:t xml:space="preserve">(民 </w:t>
      </w:r>
      <w:r w:rsidRPr="00487B62">
        <w:rPr>
          <w:rFonts w:ascii="標楷體" w:eastAsia="標楷體" w:hAnsi="標楷體" w:cs="Times New Roman"/>
          <w:color w:val="000000" w:themeColor="text1"/>
          <w:spacing w:val="2"/>
          <w:kern w:val="2"/>
          <w:lang w:eastAsia="zh-TW"/>
        </w:rPr>
        <w:t>9</w:t>
      </w:r>
      <w:r w:rsidR="00E55DA6" w:rsidRPr="00487B62">
        <w:rPr>
          <w:rFonts w:ascii="標楷體" w:eastAsia="標楷體" w:hAnsi="標楷體" w:cs="Times New Roman"/>
          <w:color w:val="000000" w:themeColor="text1"/>
          <w:spacing w:val="2"/>
          <w:kern w:val="2"/>
          <w:lang w:eastAsia="zh-TW"/>
        </w:rPr>
        <w:t>9</w:t>
      </w:r>
      <w:r w:rsidR="00DD3971" w:rsidRPr="00487B62">
        <w:rPr>
          <w:rFonts w:ascii="標楷體" w:eastAsia="標楷體" w:hAnsi="標楷體" w:cs="Times New Roman"/>
          <w:color w:val="000000" w:themeColor="text1"/>
          <w:spacing w:val="2"/>
          <w:kern w:val="2"/>
          <w:lang w:eastAsia="zh-TW"/>
        </w:rPr>
        <w:t>)，「</w:t>
      </w:r>
      <w:r w:rsidRPr="00487B62">
        <w:rPr>
          <w:rFonts w:ascii="標楷體" w:eastAsia="標楷體" w:hAnsi="標楷體" w:cs="Times New Roman"/>
          <w:color w:val="000000" w:themeColor="text1"/>
          <w:spacing w:val="2"/>
          <w:kern w:val="2"/>
          <w:lang w:eastAsia="zh-TW"/>
        </w:rPr>
        <w:t>TTQS評核一致性探討</w:t>
      </w:r>
      <w:r w:rsidR="00DD3971" w:rsidRPr="00487B62">
        <w:rPr>
          <w:rFonts w:ascii="標楷體" w:eastAsia="標楷體" w:hAnsi="標楷體" w:cs="Times New Roman"/>
          <w:color w:val="000000" w:themeColor="text1"/>
          <w:spacing w:val="2"/>
          <w:kern w:val="2"/>
          <w:lang w:eastAsia="zh-TW"/>
        </w:rPr>
        <w:t>」</w:t>
      </w:r>
      <w:r w:rsidR="005A29EB" w:rsidRPr="00487B62">
        <w:rPr>
          <w:rFonts w:ascii="標楷體" w:eastAsia="標楷體" w:hAnsi="標楷體" w:cs="Times New Roman"/>
          <w:color w:val="000000" w:themeColor="text1"/>
          <w:spacing w:val="2"/>
          <w:kern w:val="2"/>
          <w:lang w:eastAsia="zh-TW"/>
        </w:rPr>
        <w:t>，亞東經濟國際學會研究叢書第11本</w:t>
      </w:r>
      <w:r w:rsidR="00DD3971" w:rsidRPr="00487B62">
        <w:rPr>
          <w:rFonts w:ascii="標楷體" w:eastAsia="標楷體" w:hAnsi="標楷體" w:cs="Times New Roman"/>
          <w:color w:val="000000" w:themeColor="text1"/>
          <w:spacing w:val="2"/>
          <w:kern w:val="2"/>
          <w:lang w:eastAsia="zh-TW"/>
        </w:rPr>
        <w:t xml:space="preserve">，頁 </w:t>
      </w:r>
      <w:r w:rsidR="00A1525C" w:rsidRPr="00487B62">
        <w:rPr>
          <w:rFonts w:ascii="標楷體" w:eastAsia="標楷體" w:hAnsi="標楷體" w:cs="Times New Roman"/>
          <w:color w:val="000000" w:themeColor="text1"/>
          <w:spacing w:val="2"/>
          <w:kern w:val="2"/>
          <w:lang w:eastAsia="zh-TW"/>
        </w:rPr>
        <w:t>4</w:t>
      </w:r>
      <w:r w:rsidR="00DD3971" w:rsidRPr="00487B62">
        <w:rPr>
          <w:rFonts w:ascii="標楷體" w:eastAsia="標楷體" w:hAnsi="標楷體" w:cs="Times New Roman"/>
          <w:color w:val="000000" w:themeColor="text1"/>
          <w:spacing w:val="2"/>
          <w:kern w:val="2"/>
          <w:lang w:eastAsia="zh-TW"/>
        </w:rPr>
        <w:t>-</w:t>
      </w:r>
      <w:r w:rsidR="00A1525C" w:rsidRPr="00487B62">
        <w:rPr>
          <w:rFonts w:ascii="標楷體" w:eastAsia="標楷體" w:hAnsi="標楷體" w:cs="Times New Roman"/>
          <w:color w:val="000000" w:themeColor="text1"/>
          <w:spacing w:val="2"/>
          <w:kern w:val="2"/>
          <w:lang w:eastAsia="zh-TW"/>
        </w:rPr>
        <w:t>21</w:t>
      </w:r>
      <w:r w:rsidR="00DD3971" w:rsidRPr="00487B62">
        <w:rPr>
          <w:rFonts w:ascii="標楷體" w:eastAsia="標楷體" w:hAnsi="標楷體" w:cs="Times New Roman"/>
          <w:color w:val="000000" w:themeColor="text1"/>
          <w:spacing w:val="2"/>
          <w:kern w:val="2"/>
          <w:lang w:eastAsia="zh-TW"/>
        </w:rPr>
        <w:t>。</w:t>
      </w:r>
    </w:p>
    <w:p w:rsidR="006A3978" w:rsidRPr="00487B62" w:rsidRDefault="007F4FE4" w:rsidP="00487B62">
      <w:pPr>
        <w:pStyle w:val="a9"/>
        <w:numPr>
          <w:ilvl w:val="0"/>
          <w:numId w:val="2"/>
        </w:numPr>
        <w:spacing w:before="0" w:line="302" w:lineRule="auto"/>
        <w:ind w:left="482" w:rightChars="42" w:right="101" w:hanging="482"/>
        <w:rPr>
          <w:rFonts w:ascii="標楷體" w:eastAsia="標楷體" w:hAnsi="標楷體" w:cs="Times New Roman" w:hint="eastAsia"/>
          <w:color w:val="000000" w:themeColor="text1"/>
          <w:lang w:eastAsia="zh-TW"/>
        </w:rPr>
      </w:pPr>
      <w:r w:rsidRPr="00487B62">
        <w:rPr>
          <w:rFonts w:ascii="標楷體" w:eastAsia="標楷體" w:hAnsi="標楷體" w:cs="Times New Roman"/>
          <w:color w:val="000000" w:themeColor="text1"/>
          <w:spacing w:val="2"/>
          <w:kern w:val="2"/>
          <w:lang w:eastAsia="zh-TW"/>
        </w:rPr>
        <w:t>夏榕文、余哲維</w:t>
      </w:r>
      <w:r w:rsidR="005A29EB" w:rsidRPr="00487B62">
        <w:rPr>
          <w:rFonts w:ascii="標楷體" w:eastAsia="標楷體" w:hAnsi="標楷體" w:cs="Times New Roman"/>
          <w:color w:val="000000" w:themeColor="text1"/>
          <w:spacing w:val="2"/>
          <w:kern w:val="2"/>
          <w:lang w:eastAsia="zh-TW"/>
        </w:rPr>
        <w:t>(民 94)，「建構評核者人格特質與評核調分行為之關係模式」，行政院國家科學委員會專題研究計畫成果報告，頁 3-9。</w:t>
      </w:r>
    </w:p>
    <w:p w:rsidR="00DD3971" w:rsidRPr="001C1AD0" w:rsidRDefault="00DD3971" w:rsidP="00487B62">
      <w:pPr>
        <w:pStyle w:val="a9"/>
        <w:numPr>
          <w:ilvl w:val="0"/>
          <w:numId w:val="2"/>
        </w:numPr>
        <w:spacing w:before="0" w:line="333" w:lineRule="auto"/>
        <w:ind w:left="482" w:rightChars="42" w:right="101" w:hanging="482"/>
        <w:rPr>
          <w:rFonts w:ascii="Times New Roman" w:eastAsia="標楷體" w:hAnsi="Times New Roman"/>
          <w:color w:val="000000" w:themeColor="text1"/>
        </w:rPr>
      </w:pPr>
      <w:proofErr w:type="spellStart"/>
      <w:r w:rsidRPr="001C1AD0">
        <w:rPr>
          <w:rFonts w:ascii="Times New Roman" w:eastAsia="標楷體" w:hAnsi="Times New Roman" w:cs="Times New Roman"/>
          <w:color w:val="000000" w:themeColor="text1"/>
          <w:lang w:eastAsia="zh-TW"/>
        </w:rPr>
        <w:t>Bemardin</w:t>
      </w:r>
      <w:proofErr w:type="spellEnd"/>
      <w:r w:rsidRPr="001C1AD0">
        <w:rPr>
          <w:rFonts w:ascii="Times New Roman" w:eastAsia="標楷體" w:hAnsi="Times New Roman" w:cs="Times New Roman"/>
          <w:color w:val="000000" w:themeColor="text1"/>
          <w:lang w:eastAsia="zh-TW"/>
        </w:rPr>
        <w:t>,  H.  J.,  Cooke,  D.  K.,  &amp;  Villanova,  P.   (2000),“ Conscientiousness and</w:t>
      </w:r>
      <w:r w:rsidR="001C1AD0">
        <w:rPr>
          <w:rFonts w:ascii="Times New Roman" w:eastAsia="標楷體" w:hAnsi="Times New Roman" w:cs="Times New Roman" w:hint="eastAsia"/>
          <w:color w:val="000000" w:themeColor="text1"/>
          <w:lang w:eastAsia="zh-TW"/>
        </w:rPr>
        <w:t xml:space="preserve">　</w:t>
      </w:r>
      <w:r w:rsidRPr="001C1AD0">
        <w:rPr>
          <w:rFonts w:ascii="Times New Roman" w:eastAsia="標楷體" w:hAnsi="Times New Roman"/>
          <w:color w:val="000000" w:themeColor="text1"/>
        </w:rPr>
        <w:t>agreeableness as predictors of rating leniency</w:t>
      </w:r>
      <w:r w:rsidRPr="001C1AD0">
        <w:rPr>
          <w:rFonts w:ascii="Times New Roman" w:eastAsia="標楷體" w:hAnsi="標楷體"/>
          <w:color w:val="000000" w:themeColor="text1"/>
        </w:rPr>
        <w:t>＂</w:t>
      </w:r>
      <w:r w:rsidRPr="001C1AD0">
        <w:rPr>
          <w:rFonts w:ascii="Times New Roman" w:eastAsia="標楷體" w:hAnsi="Times New Roman"/>
          <w:color w:val="000000" w:themeColor="text1"/>
        </w:rPr>
        <w:t xml:space="preserve">, </w:t>
      </w:r>
      <w:r w:rsidRPr="001C1AD0">
        <w:rPr>
          <w:rFonts w:ascii="Times New Roman" w:eastAsia="標楷體" w:hAnsi="Times New Roman"/>
          <w:i/>
          <w:color w:val="000000" w:themeColor="text1"/>
        </w:rPr>
        <w:t>Journal of Applied Psychology</w:t>
      </w:r>
      <w:r w:rsidRPr="001C1AD0">
        <w:rPr>
          <w:rFonts w:ascii="Times New Roman" w:eastAsia="標楷體" w:hAnsi="Times New Roman"/>
          <w:color w:val="000000" w:themeColor="text1"/>
        </w:rPr>
        <w:t xml:space="preserve">, </w:t>
      </w:r>
      <w:r w:rsidRPr="001C1AD0">
        <w:rPr>
          <w:rFonts w:ascii="Times New Roman" w:eastAsia="標楷體" w:hAnsi="Times New Roman"/>
          <w:color w:val="000000" w:themeColor="text1"/>
          <w:spacing w:val="-5"/>
        </w:rPr>
        <w:t xml:space="preserve">Vol.85, </w:t>
      </w:r>
      <w:r w:rsidRPr="001C1AD0">
        <w:rPr>
          <w:rFonts w:ascii="Times New Roman" w:eastAsia="標楷體" w:hAnsi="Times New Roman"/>
          <w:color w:val="000000" w:themeColor="text1"/>
        </w:rPr>
        <w:t>(April),pp.232-236.</w:t>
      </w:r>
    </w:p>
    <w:p w:rsidR="00DD3971" w:rsidRPr="009B1AD4" w:rsidRDefault="00DD3971" w:rsidP="00487B62">
      <w:pPr>
        <w:pStyle w:val="ab"/>
        <w:numPr>
          <w:ilvl w:val="0"/>
          <w:numId w:val="2"/>
        </w:numPr>
        <w:tabs>
          <w:tab w:val="left" w:pos="462"/>
        </w:tabs>
        <w:spacing w:line="296" w:lineRule="exact"/>
        <w:ind w:left="482" w:hanging="482"/>
        <w:rPr>
          <w:rFonts w:ascii="Times New Roman" w:eastAsia="標楷體" w:hAnsi="Times New Roman" w:cs="Times New Roman"/>
          <w:color w:val="000000" w:themeColor="text1"/>
          <w:sz w:val="24"/>
          <w:szCs w:val="24"/>
        </w:rPr>
      </w:pPr>
      <w:r w:rsidRPr="009B1AD4">
        <w:rPr>
          <w:rFonts w:ascii="Times New Roman" w:eastAsia="標楷體" w:hAnsi="Times New Roman" w:cs="Times New Roman"/>
          <w:color w:val="000000" w:themeColor="text1"/>
          <w:sz w:val="24"/>
          <w:szCs w:val="24"/>
        </w:rPr>
        <w:t>Bartels,</w:t>
      </w:r>
      <w:r w:rsidRPr="009B1AD4">
        <w:rPr>
          <w:rFonts w:ascii="Times New Roman" w:eastAsia="標楷體" w:hAnsi="Times New Roman" w:cs="Times New Roman"/>
          <w:color w:val="000000" w:themeColor="text1"/>
          <w:spacing w:val="27"/>
          <w:sz w:val="24"/>
          <w:szCs w:val="24"/>
        </w:rPr>
        <w:t xml:space="preserve"> </w:t>
      </w:r>
      <w:r w:rsidRPr="009B1AD4">
        <w:rPr>
          <w:rFonts w:ascii="Times New Roman" w:eastAsia="標楷體" w:hAnsi="Times New Roman" w:cs="Times New Roman"/>
          <w:color w:val="000000" w:themeColor="text1"/>
          <w:sz w:val="24"/>
          <w:szCs w:val="24"/>
        </w:rPr>
        <w:t>L.</w:t>
      </w:r>
      <w:r w:rsidRPr="009B1AD4">
        <w:rPr>
          <w:rFonts w:ascii="Times New Roman" w:eastAsia="標楷體" w:hAnsi="Times New Roman" w:cs="Times New Roman"/>
          <w:color w:val="000000" w:themeColor="text1"/>
          <w:spacing w:val="27"/>
          <w:sz w:val="24"/>
          <w:szCs w:val="24"/>
        </w:rPr>
        <w:t xml:space="preserve"> </w:t>
      </w:r>
      <w:r w:rsidRPr="009B1AD4">
        <w:rPr>
          <w:rFonts w:ascii="Times New Roman" w:eastAsia="標楷體" w:hAnsi="Times New Roman" w:cs="Times New Roman"/>
          <w:color w:val="000000" w:themeColor="text1"/>
          <w:sz w:val="24"/>
          <w:szCs w:val="24"/>
        </w:rPr>
        <w:t>K.,</w:t>
      </w:r>
      <w:r w:rsidRPr="009B1AD4">
        <w:rPr>
          <w:rFonts w:ascii="Times New Roman" w:eastAsia="標楷體" w:hAnsi="Times New Roman" w:cs="Times New Roman"/>
          <w:color w:val="000000" w:themeColor="text1"/>
          <w:spacing w:val="27"/>
          <w:sz w:val="24"/>
          <w:szCs w:val="24"/>
        </w:rPr>
        <w:t xml:space="preserve"> </w:t>
      </w:r>
      <w:r w:rsidRPr="009B1AD4">
        <w:rPr>
          <w:rFonts w:ascii="Times New Roman" w:eastAsia="標楷體" w:hAnsi="Times New Roman" w:cs="Times New Roman"/>
          <w:color w:val="000000" w:themeColor="text1"/>
          <w:sz w:val="24"/>
          <w:szCs w:val="24"/>
        </w:rPr>
        <w:t>&amp;</w:t>
      </w:r>
      <w:r w:rsidRPr="009B1AD4">
        <w:rPr>
          <w:rFonts w:ascii="Times New Roman" w:eastAsia="標楷體" w:hAnsi="Times New Roman" w:cs="Times New Roman"/>
          <w:color w:val="000000" w:themeColor="text1"/>
          <w:spacing w:val="27"/>
          <w:sz w:val="24"/>
          <w:szCs w:val="24"/>
        </w:rPr>
        <w:t xml:space="preserve"> </w:t>
      </w:r>
      <w:proofErr w:type="spellStart"/>
      <w:r w:rsidRPr="009B1AD4">
        <w:rPr>
          <w:rFonts w:ascii="Times New Roman" w:eastAsia="標楷體" w:hAnsi="Times New Roman" w:cs="Times New Roman"/>
          <w:color w:val="000000" w:themeColor="text1"/>
          <w:sz w:val="24"/>
          <w:szCs w:val="24"/>
        </w:rPr>
        <w:t>Doverspike</w:t>
      </w:r>
      <w:proofErr w:type="spellEnd"/>
      <w:r w:rsidRPr="009B1AD4">
        <w:rPr>
          <w:rFonts w:ascii="Times New Roman" w:eastAsia="標楷體" w:hAnsi="Times New Roman" w:cs="Times New Roman"/>
          <w:color w:val="000000" w:themeColor="text1"/>
          <w:sz w:val="24"/>
          <w:szCs w:val="24"/>
        </w:rPr>
        <w:t>,</w:t>
      </w:r>
      <w:r w:rsidRPr="009B1AD4">
        <w:rPr>
          <w:rFonts w:ascii="Times New Roman" w:eastAsia="標楷體" w:hAnsi="Times New Roman" w:cs="Times New Roman"/>
          <w:color w:val="000000" w:themeColor="text1"/>
          <w:spacing w:val="27"/>
          <w:sz w:val="24"/>
          <w:szCs w:val="24"/>
        </w:rPr>
        <w:t xml:space="preserve"> </w:t>
      </w:r>
      <w:r w:rsidRPr="009B1AD4">
        <w:rPr>
          <w:rFonts w:ascii="Times New Roman" w:eastAsia="標楷體" w:hAnsi="Times New Roman" w:cs="Times New Roman"/>
          <w:color w:val="000000" w:themeColor="text1"/>
          <w:sz w:val="24"/>
          <w:szCs w:val="24"/>
        </w:rPr>
        <w:t>D.</w:t>
      </w:r>
      <w:r w:rsidRPr="009B1AD4">
        <w:rPr>
          <w:rFonts w:ascii="Times New Roman" w:eastAsia="標楷體" w:hAnsi="Times New Roman" w:cs="Times New Roman"/>
          <w:color w:val="000000" w:themeColor="text1"/>
          <w:spacing w:val="27"/>
          <w:sz w:val="24"/>
          <w:szCs w:val="24"/>
        </w:rPr>
        <w:t xml:space="preserve"> </w:t>
      </w:r>
      <w:r w:rsidRPr="009B1AD4">
        <w:rPr>
          <w:rFonts w:ascii="Times New Roman" w:eastAsia="標楷體" w:hAnsi="Times New Roman" w:cs="Times New Roman"/>
          <w:color w:val="000000" w:themeColor="text1"/>
          <w:sz w:val="24"/>
          <w:szCs w:val="24"/>
        </w:rPr>
        <w:t>(1997),“Assessing</w:t>
      </w:r>
      <w:r w:rsidRPr="009B1AD4">
        <w:rPr>
          <w:rFonts w:ascii="Times New Roman" w:eastAsia="標楷體" w:hAnsi="Times New Roman" w:cs="Times New Roman"/>
          <w:color w:val="000000" w:themeColor="text1"/>
          <w:spacing w:val="27"/>
          <w:sz w:val="24"/>
          <w:szCs w:val="24"/>
        </w:rPr>
        <w:t xml:space="preserve"> </w:t>
      </w:r>
      <w:r w:rsidRPr="009B1AD4">
        <w:rPr>
          <w:rFonts w:ascii="Times New Roman" w:eastAsia="標楷體" w:hAnsi="Times New Roman" w:cs="Times New Roman"/>
          <w:color w:val="000000" w:themeColor="text1"/>
          <w:sz w:val="24"/>
          <w:szCs w:val="24"/>
        </w:rPr>
        <w:t>the</w:t>
      </w:r>
      <w:r w:rsidRPr="009B1AD4">
        <w:rPr>
          <w:rFonts w:ascii="Times New Roman" w:eastAsia="標楷體" w:hAnsi="Times New Roman" w:cs="Times New Roman"/>
          <w:color w:val="000000" w:themeColor="text1"/>
          <w:spacing w:val="27"/>
          <w:sz w:val="24"/>
          <w:szCs w:val="24"/>
        </w:rPr>
        <w:t xml:space="preserve"> </w:t>
      </w:r>
      <w:r w:rsidRPr="009B1AD4">
        <w:rPr>
          <w:rFonts w:ascii="Times New Roman" w:eastAsia="標楷體" w:hAnsi="Times New Roman" w:cs="Times New Roman"/>
          <w:color w:val="000000" w:themeColor="text1"/>
          <w:sz w:val="24"/>
          <w:szCs w:val="24"/>
        </w:rPr>
        <w:t>assessor:</w:t>
      </w:r>
      <w:r w:rsidRPr="009B1AD4">
        <w:rPr>
          <w:rFonts w:ascii="Times New Roman" w:eastAsia="標楷體" w:hAnsi="Times New Roman" w:cs="Times New Roman"/>
          <w:color w:val="000000" w:themeColor="text1"/>
          <w:spacing w:val="27"/>
          <w:sz w:val="24"/>
          <w:szCs w:val="24"/>
        </w:rPr>
        <w:t xml:space="preserve"> </w:t>
      </w:r>
      <w:r w:rsidRPr="009B1AD4">
        <w:rPr>
          <w:rFonts w:ascii="Times New Roman" w:eastAsia="標楷體" w:hAnsi="Times New Roman" w:cs="Times New Roman"/>
          <w:color w:val="000000" w:themeColor="text1"/>
          <w:sz w:val="24"/>
          <w:szCs w:val="24"/>
        </w:rPr>
        <w:t>The</w:t>
      </w:r>
      <w:r w:rsidRPr="009B1AD4">
        <w:rPr>
          <w:rFonts w:ascii="Times New Roman" w:eastAsia="標楷體" w:hAnsi="Times New Roman" w:cs="Times New Roman"/>
          <w:color w:val="000000" w:themeColor="text1"/>
          <w:spacing w:val="27"/>
          <w:sz w:val="24"/>
          <w:szCs w:val="24"/>
        </w:rPr>
        <w:t xml:space="preserve"> </w:t>
      </w:r>
      <w:r w:rsidRPr="009B1AD4">
        <w:rPr>
          <w:rFonts w:ascii="Times New Roman" w:eastAsia="標楷體" w:hAnsi="Times New Roman" w:cs="Times New Roman"/>
          <w:color w:val="000000" w:themeColor="text1"/>
          <w:sz w:val="24"/>
          <w:szCs w:val="24"/>
        </w:rPr>
        <w:t>relationship</w:t>
      </w:r>
      <w:r w:rsidRPr="009B1AD4">
        <w:rPr>
          <w:rFonts w:ascii="Times New Roman" w:eastAsia="標楷體" w:hAnsi="Times New Roman" w:cs="Times New Roman"/>
          <w:color w:val="000000" w:themeColor="text1"/>
          <w:spacing w:val="26"/>
          <w:sz w:val="24"/>
          <w:szCs w:val="24"/>
        </w:rPr>
        <w:t xml:space="preserve"> </w:t>
      </w:r>
      <w:r w:rsidRPr="009B1AD4">
        <w:rPr>
          <w:rFonts w:ascii="Times New Roman" w:eastAsia="標楷體" w:hAnsi="Times New Roman" w:cs="Times New Roman"/>
          <w:color w:val="000000" w:themeColor="text1"/>
          <w:sz w:val="24"/>
          <w:szCs w:val="24"/>
        </w:rPr>
        <w:t>of</w:t>
      </w:r>
    </w:p>
    <w:p w:rsidR="00DD3971" w:rsidRPr="00487B62" w:rsidRDefault="00DD3971" w:rsidP="00487B62">
      <w:pPr>
        <w:pStyle w:val="ab"/>
        <w:numPr>
          <w:ilvl w:val="0"/>
          <w:numId w:val="2"/>
        </w:numPr>
        <w:spacing w:line="333" w:lineRule="auto"/>
        <w:ind w:left="482" w:rightChars="13" w:right="31" w:hanging="482"/>
        <w:rPr>
          <w:rFonts w:ascii="Times New Roman" w:eastAsia="標楷體" w:hAnsi="Times New Roman"/>
          <w:color w:val="000000" w:themeColor="text1"/>
          <w:sz w:val="24"/>
          <w:szCs w:val="24"/>
        </w:rPr>
      </w:pPr>
      <w:r w:rsidRPr="009B1AD4">
        <w:rPr>
          <w:rFonts w:ascii="Times New Roman" w:eastAsia="標楷體" w:hAnsi="Times New Roman"/>
          <w:color w:val="000000" w:themeColor="text1"/>
          <w:sz w:val="24"/>
          <w:szCs w:val="24"/>
        </w:rPr>
        <w:t>assessor personality leniency in assessment center ratings</w:t>
      </w:r>
      <w:r w:rsidRPr="009B1AD4">
        <w:rPr>
          <w:rFonts w:ascii="Times New Roman" w:eastAsia="標楷體" w:hAnsi="標楷體"/>
          <w:color w:val="000000" w:themeColor="text1"/>
          <w:sz w:val="24"/>
          <w:szCs w:val="24"/>
        </w:rPr>
        <w:t>＂</w:t>
      </w:r>
      <w:r w:rsidRPr="009B1AD4">
        <w:rPr>
          <w:rFonts w:ascii="Times New Roman" w:eastAsia="標楷體" w:hAnsi="Times New Roman"/>
          <w:color w:val="000000" w:themeColor="text1"/>
          <w:sz w:val="24"/>
          <w:szCs w:val="24"/>
        </w:rPr>
        <w:t xml:space="preserve">, </w:t>
      </w:r>
      <w:r w:rsidRPr="009B1AD4">
        <w:rPr>
          <w:rFonts w:ascii="Times New Roman" w:eastAsia="標楷體" w:hAnsi="Times New Roman"/>
          <w:i/>
          <w:color w:val="000000" w:themeColor="text1"/>
          <w:sz w:val="24"/>
          <w:szCs w:val="24"/>
        </w:rPr>
        <w:t>Journal of Social Behavior &amp; Personality</w:t>
      </w:r>
      <w:r w:rsidRPr="009B1AD4">
        <w:rPr>
          <w:rFonts w:ascii="Times New Roman" w:eastAsia="標楷體" w:hAnsi="Times New Roman"/>
          <w:color w:val="000000" w:themeColor="text1"/>
          <w:sz w:val="24"/>
          <w:szCs w:val="24"/>
        </w:rPr>
        <w:t xml:space="preserve">, </w:t>
      </w:r>
      <w:r w:rsidRPr="009B1AD4">
        <w:rPr>
          <w:rFonts w:ascii="Times New Roman" w:eastAsia="標楷體" w:hAnsi="Times New Roman"/>
          <w:color w:val="000000" w:themeColor="text1"/>
          <w:spacing w:val="-4"/>
          <w:sz w:val="24"/>
          <w:szCs w:val="24"/>
        </w:rPr>
        <w:t>Vol.12(5),</w:t>
      </w:r>
      <w:r w:rsidRPr="009B1AD4">
        <w:rPr>
          <w:rFonts w:ascii="Times New Roman" w:eastAsia="標楷體" w:hAnsi="Times New Roman"/>
          <w:color w:val="000000" w:themeColor="text1"/>
          <w:spacing w:val="1"/>
          <w:sz w:val="24"/>
          <w:szCs w:val="24"/>
        </w:rPr>
        <w:t xml:space="preserve"> </w:t>
      </w:r>
      <w:r w:rsidRPr="009B1AD4">
        <w:rPr>
          <w:rFonts w:ascii="Times New Roman" w:eastAsia="標楷體" w:hAnsi="Times New Roman"/>
          <w:color w:val="000000" w:themeColor="text1"/>
          <w:sz w:val="24"/>
          <w:szCs w:val="24"/>
        </w:rPr>
        <w:t>pp.179-190.</w:t>
      </w:r>
    </w:p>
    <w:p w:rsidR="006A3978" w:rsidRPr="00487B62" w:rsidRDefault="006C3AC0" w:rsidP="00487B62">
      <w:pPr>
        <w:pStyle w:val="ab"/>
        <w:numPr>
          <w:ilvl w:val="0"/>
          <w:numId w:val="2"/>
        </w:numPr>
        <w:spacing w:line="333" w:lineRule="auto"/>
        <w:ind w:left="482" w:hanging="482"/>
        <w:rPr>
          <w:rFonts w:ascii="Times New Roman" w:eastAsia="標楷體" w:hAnsi="Times New Roman"/>
          <w:color w:val="000000" w:themeColor="text1"/>
          <w:sz w:val="24"/>
          <w:szCs w:val="24"/>
          <w:shd w:val="clear" w:color="auto" w:fill="FFFFFF"/>
        </w:rPr>
      </w:pPr>
      <w:r w:rsidRPr="009B1AD4">
        <w:rPr>
          <w:rFonts w:ascii="Times New Roman" w:eastAsia="標楷體" w:hAnsi="Times New Roman"/>
          <w:color w:val="000000" w:themeColor="text1"/>
          <w:sz w:val="24"/>
          <w:szCs w:val="24"/>
          <w:shd w:val="clear" w:color="auto" w:fill="FFFFFF"/>
        </w:rPr>
        <w:t xml:space="preserve">Carroll, J. S., </w:t>
      </w:r>
      <w:proofErr w:type="spellStart"/>
      <w:r w:rsidRPr="009B1AD4">
        <w:rPr>
          <w:rFonts w:ascii="Times New Roman" w:eastAsia="標楷體" w:hAnsi="Times New Roman"/>
          <w:color w:val="000000" w:themeColor="text1"/>
          <w:sz w:val="24"/>
          <w:szCs w:val="24"/>
          <w:shd w:val="clear" w:color="auto" w:fill="FFFFFF"/>
        </w:rPr>
        <w:t>Perkowitz</w:t>
      </w:r>
      <w:proofErr w:type="spellEnd"/>
      <w:r w:rsidRPr="009B1AD4">
        <w:rPr>
          <w:rFonts w:ascii="Times New Roman" w:eastAsia="標楷體" w:hAnsi="Times New Roman"/>
          <w:color w:val="000000" w:themeColor="text1"/>
          <w:sz w:val="24"/>
          <w:szCs w:val="24"/>
          <w:shd w:val="clear" w:color="auto" w:fill="FFFFFF"/>
        </w:rPr>
        <w:t xml:space="preserve">, W. T., </w:t>
      </w:r>
      <w:proofErr w:type="spellStart"/>
      <w:r w:rsidRPr="009B1AD4">
        <w:rPr>
          <w:rFonts w:ascii="Times New Roman" w:eastAsia="標楷體" w:hAnsi="Times New Roman"/>
          <w:color w:val="000000" w:themeColor="text1"/>
          <w:sz w:val="24"/>
          <w:szCs w:val="24"/>
          <w:shd w:val="clear" w:color="auto" w:fill="FFFFFF"/>
        </w:rPr>
        <w:t>Lurigio</w:t>
      </w:r>
      <w:proofErr w:type="spellEnd"/>
      <w:r w:rsidRPr="009B1AD4">
        <w:rPr>
          <w:rFonts w:ascii="Times New Roman" w:eastAsia="標楷體" w:hAnsi="Times New Roman"/>
          <w:color w:val="000000" w:themeColor="text1"/>
          <w:sz w:val="24"/>
          <w:szCs w:val="24"/>
          <w:shd w:val="clear" w:color="auto" w:fill="FFFFFF"/>
        </w:rPr>
        <w:t>, A. J., &amp; Weaver, F. M. (1987),“Sentencing goals, causal attributions, ideology, and personality”, Journal of Personality and Social Psychology, Vol.52 (1), pp.107-118.</w:t>
      </w:r>
    </w:p>
    <w:p w:rsidR="00DD3971" w:rsidRPr="009B1AD4" w:rsidRDefault="00DD3971" w:rsidP="00487B62">
      <w:pPr>
        <w:pStyle w:val="ab"/>
        <w:numPr>
          <w:ilvl w:val="0"/>
          <w:numId w:val="2"/>
        </w:numPr>
        <w:spacing w:line="333" w:lineRule="auto"/>
        <w:ind w:left="482" w:hanging="482"/>
        <w:rPr>
          <w:rFonts w:ascii="Times New Roman" w:eastAsia="標楷體" w:hAnsi="Times New Roman"/>
          <w:color w:val="000000" w:themeColor="text1"/>
          <w:sz w:val="24"/>
          <w:szCs w:val="24"/>
        </w:rPr>
      </w:pPr>
      <w:proofErr w:type="spellStart"/>
      <w:r w:rsidRPr="009B1AD4">
        <w:rPr>
          <w:rFonts w:ascii="Times New Roman" w:eastAsia="標楷體" w:hAnsi="Times New Roman"/>
          <w:color w:val="000000" w:themeColor="text1"/>
          <w:sz w:val="24"/>
          <w:szCs w:val="24"/>
        </w:rPr>
        <w:t>Jawahar</w:t>
      </w:r>
      <w:proofErr w:type="spellEnd"/>
      <w:r w:rsidRPr="009B1AD4">
        <w:rPr>
          <w:rFonts w:ascii="Times New Roman" w:eastAsia="標楷體" w:hAnsi="Times New Roman"/>
          <w:color w:val="000000" w:themeColor="text1"/>
          <w:sz w:val="24"/>
          <w:szCs w:val="24"/>
        </w:rPr>
        <w:t xml:space="preserve">, L. M., &amp; Stone, </w:t>
      </w:r>
      <w:r w:rsidRPr="009B1AD4">
        <w:rPr>
          <w:rFonts w:ascii="Times New Roman" w:eastAsia="標楷體" w:hAnsi="Times New Roman"/>
          <w:color w:val="000000" w:themeColor="text1"/>
          <w:spacing w:val="-10"/>
          <w:sz w:val="24"/>
          <w:szCs w:val="24"/>
        </w:rPr>
        <w:t xml:space="preserve">T. </w:t>
      </w:r>
      <w:r w:rsidRPr="009B1AD4">
        <w:rPr>
          <w:rFonts w:ascii="Times New Roman" w:eastAsia="標楷體" w:hAnsi="Times New Roman"/>
          <w:color w:val="000000" w:themeColor="text1"/>
          <w:sz w:val="24"/>
          <w:szCs w:val="24"/>
        </w:rPr>
        <w:t>H. (1997), “ Appraisal purpose versus perceived consequences: The effects of appraisal purpose, perceived consequences, and rater self-monitoring on leniency of ratings and decisions</w:t>
      </w:r>
      <w:r w:rsidRPr="009B1AD4">
        <w:rPr>
          <w:rFonts w:ascii="Times New Roman" w:eastAsia="標楷體" w:hAnsi="標楷體"/>
          <w:color w:val="000000" w:themeColor="text1"/>
          <w:sz w:val="24"/>
          <w:szCs w:val="24"/>
        </w:rPr>
        <w:t>＂</w:t>
      </w:r>
      <w:r w:rsidRPr="009B1AD4">
        <w:rPr>
          <w:rFonts w:ascii="Times New Roman" w:eastAsia="標楷體" w:hAnsi="Times New Roman"/>
          <w:color w:val="000000" w:themeColor="text1"/>
          <w:sz w:val="24"/>
          <w:szCs w:val="24"/>
        </w:rPr>
        <w:t xml:space="preserve">, </w:t>
      </w:r>
      <w:r w:rsidRPr="009B1AD4">
        <w:rPr>
          <w:rFonts w:ascii="Times New Roman" w:eastAsia="標楷體" w:hAnsi="Times New Roman"/>
          <w:i/>
          <w:color w:val="000000" w:themeColor="text1"/>
          <w:sz w:val="24"/>
          <w:szCs w:val="24"/>
        </w:rPr>
        <w:t>Research and Practice in Human Resource Management</w:t>
      </w:r>
      <w:r w:rsidRPr="009B1AD4">
        <w:rPr>
          <w:rFonts w:ascii="Times New Roman" w:eastAsia="標楷體" w:hAnsi="Times New Roman"/>
          <w:color w:val="000000" w:themeColor="text1"/>
          <w:sz w:val="24"/>
          <w:szCs w:val="24"/>
        </w:rPr>
        <w:t xml:space="preserve">, </w:t>
      </w:r>
      <w:r w:rsidRPr="009B1AD4">
        <w:rPr>
          <w:rFonts w:ascii="Times New Roman" w:eastAsia="標楷體" w:hAnsi="Times New Roman"/>
          <w:color w:val="000000" w:themeColor="text1"/>
          <w:spacing w:val="-6"/>
          <w:sz w:val="24"/>
          <w:szCs w:val="24"/>
        </w:rPr>
        <w:t>Vol.5,</w:t>
      </w:r>
      <w:r w:rsidRPr="009B1AD4">
        <w:rPr>
          <w:rFonts w:ascii="Times New Roman" w:eastAsia="標楷體" w:hAnsi="Times New Roman"/>
          <w:color w:val="000000" w:themeColor="text1"/>
          <w:spacing w:val="-13"/>
          <w:sz w:val="24"/>
          <w:szCs w:val="24"/>
        </w:rPr>
        <w:t xml:space="preserve"> </w:t>
      </w:r>
      <w:r w:rsidRPr="009B1AD4">
        <w:rPr>
          <w:rFonts w:ascii="Times New Roman" w:eastAsia="標楷體" w:hAnsi="Times New Roman"/>
          <w:color w:val="000000" w:themeColor="text1"/>
          <w:sz w:val="24"/>
          <w:szCs w:val="24"/>
        </w:rPr>
        <w:t>pp.33-54.</w:t>
      </w:r>
    </w:p>
    <w:p w:rsidR="00DD3971" w:rsidRPr="009B1AD4" w:rsidRDefault="00DD3971" w:rsidP="00487B62">
      <w:pPr>
        <w:pStyle w:val="ab"/>
        <w:numPr>
          <w:ilvl w:val="0"/>
          <w:numId w:val="2"/>
        </w:numPr>
        <w:tabs>
          <w:tab w:val="left" w:pos="462"/>
        </w:tabs>
        <w:spacing w:line="333" w:lineRule="auto"/>
        <w:ind w:left="482" w:rightChars="51" w:right="122" w:hanging="482"/>
        <w:rPr>
          <w:rFonts w:ascii="Times New Roman" w:eastAsia="標楷體" w:hAnsi="Times New Roman" w:cs="Times New Roman"/>
          <w:color w:val="000000" w:themeColor="text1"/>
          <w:sz w:val="24"/>
          <w:szCs w:val="24"/>
        </w:rPr>
      </w:pPr>
      <w:proofErr w:type="spellStart"/>
      <w:r w:rsidRPr="009B1AD4">
        <w:rPr>
          <w:rFonts w:ascii="Times New Roman" w:eastAsia="標楷體" w:hAnsi="Times New Roman" w:cs="Times New Roman"/>
          <w:color w:val="000000" w:themeColor="text1"/>
          <w:sz w:val="24"/>
          <w:szCs w:val="24"/>
        </w:rPr>
        <w:t>Jawahar</w:t>
      </w:r>
      <w:proofErr w:type="spellEnd"/>
      <w:r w:rsidRPr="009B1AD4">
        <w:rPr>
          <w:rFonts w:ascii="Times New Roman" w:eastAsia="標楷體" w:hAnsi="Times New Roman" w:cs="Times New Roman"/>
          <w:color w:val="000000" w:themeColor="text1"/>
          <w:sz w:val="24"/>
          <w:szCs w:val="24"/>
        </w:rPr>
        <w:t>, I. M. (2001),“Attitudes, Self-Monitoring, and Appraisal Behaviors</w:t>
      </w:r>
      <w:r w:rsidRPr="009B1AD4">
        <w:rPr>
          <w:rFonts w:ascii="Times New Roman" w:eastAsia="標楷體" w:hAnsi="標楷體" w:cs="Times New Roman"/>
          <w:color w:val="000000" w:themeColor="text1"/>
          <w:sz w:val="24"/>
          <w:szCs w:val="24"/>
        </w:rPr>
        <w:t>＂</w:t>
      </w:r>
      <w:r w:rsidRPr="009B1AD4">
        <w:rPr>
          <w:rFonts w:ascii="Times New Roman" w:eastAsia="標楷體" w:hAnsi="Times New Roman" w:cs="Times New Roman"/>
          <w:color w:val="000000" w:themeColor="text1"/>
          <w:sz w:val="24"/>
          <w:szCs w:val="24"/>
        </w:rPr>
        <w:t xml:space="preserve">, </w:t>
      </w:r>
      <w:r w:rsidRPr="009B1AD4">
        <w:rPr>
          <w:rFonts w:ascii="Times New Roman" w:eastAsia="標楷體" w:hAnsi="Times New Roman" w:cs="Times New Roman"/>
          <w:i/>
          <w:color w:val="000000" w:themeColor="text1"/>
          <w:sz w:val="24"/>
          <w:szCs w:val="24"/>
        </w:rPr>
        <w:t>Journal of Applied Psychology</w:t>
      </w:r>
      <w:r w:rsidRPr="009B1AD4">
        <w:rPr>
          <w:rFonts w:ascii="Times New Roman" w:eastAsia="標楷體" w:hAnsi="Times New Roman" w:cs="Times New Roman"/>
          <w:color w:val="000000" w:themeColor="text1"/>
          <w:sz w:val="24"/>
          <w:szCs w:val="24"/>
        </w:rPr>
        <w:t xml:space="preserve">, </w:t>
      </w:r>
      <w:r w:rsidRPr="009B1AD4">
        <w:rPr>
          <w:rFonts w:ascii="Times New Roman" w:eastAsia="標楷體" w:hAnsi="Times New Roman" w:cs="Times New Roman"/>
          <w:color w:val="000000" w:themeColor="text1"/>
          <w:spacing w:val="-4"/>
          <w:sz w:val="24"/>
          <w:szCs w:val="24"/>
        </w:rPr>
        <w:t>Vol.86(5),</w:t>
      </w:r>
      <w:r w:rsidRPr="009B1AD4">
        <w:rPr>
          <w:rFonts w:ascii="Times New Roman" w:eastAsia="標楷體" w:hAnsi="Times New Roman" w:cs="Times New Roman"/>
          <w:color w:val="000000" w:themeColor="text1"/>
          <w:spacing w:val="-5"/>
          <w:sz w:val="24"/>
          <w:szCs w:val="24"/>
        </w:rPr>
        <w:t xml:space="preserve"> </w:t>
      </w:r>
      <w:r w:rsidRPr="009B1AD4">
        <w:rPr>
          <w:rFonts w:ascii="Times New Roman" w:eastAsia="標楷體" w:hAnsi="Times New Roman" w:cs="Times New Roman"/>
          <w:color w:val="000000" w:themeColor="text1"/>
          <w:sz w:val="24"/>
          <w:szCs w:val="24"/>
        </w:rPr>
        <w:t>pp.875-883</w:t>
      </w:r>
    </w:p>
    <w:p w:rsidR="00DD3971" w:rsidRPr="009B1AD4" w:rsidRDefault="00DD3971" w:rsidP="00487B62">
      <w:pPr>
        <w:pStyle w:val="ab"/>
        <w:numPr>
          <w:ilvl w:val="0"/>
          <w:numId w:val="2"/>
        </w:numPr>
        <w:tabs>
          <w:tab w:val="left" w:pos="462"/>
        </w:tabs>
        <w:spacing w:line="281" w:lineRule="exact"/>
        <w:ind w:left="482" w:rightChars="45" w:right="108" w:hanging="482"/>
        <w:rPr>
          <w:rFonts w:ascii="Times New Roman" w:eastAsia="標楷體" w:hAnsi="Times New Roman"/>
          <w:color w:val="000000" w:themeColor="text1"/>
          <w:sz w:val="24"/>
          <w:szCs w:val="24"/>
        </w:rPr>
      </w:pPr>
      <w:r w:rsidRPr="009B1AD4">
        <w:rPr>
          <w:rFonts w:ascii="Times New Roman" w:eastAsia="標楷體" w:hAnsi="Times New Roman" w:cs="Times New Roman"/>
          <w:color w:val="000000" w:themeColor="text1"/>
          <w:sz w:val="24"/>
          <w:szCs w:val="24"/>
        </w:rPr>
        <w:t>Lewis,</w:t>
      </w:r>
      <w:r w:rsidRPr="009B1AD4">
        <w:rPr>
          <w:rFonts w:ascii="Times New Roman" w:eastAsia="標楷體" w:hAnsi="Times New Roman" w:cs="Times New Roman"/>
          <w:color w:val="000000" w:themeColor="text1"/>
          <w:spacing w:val="35"/>
          <w:sz w:val="24"/>
          <w:szCs w:val="24"/>
        </w:rPr>
        <w:t xml:space="preserve"> </w:t>
      </w:r>
      <w:r w:rsidRPr="009B1AD4">
        <w:rPr>
          <w:rFonts w:ascii="Times New Roman" w:eastAsia="標楷體" w:hAnsi="Times New Roman" w:cs="Times New Roman"/>
          <w:color w:val="000000" w:themeColor="text1"/>
          <w:sz w:val="24"/>
          <w:szCs w:val="24"/>
        </w:rPr>
        <w:t>N.</w:t>
      </w:r>
      <w:r w:rsidRPr="009B1AD4">
        <w:rPr>
          <w:rFonts w:ascii="Times New Roman" w:eastAsia="標楷體" w:hAnsi="Times New Roman" w:cs="Times New Roman"/>
          <w:color w:val="000000" w:themeColor="text1"/>
          <w:spacing w:val="35"/>
          <w:sz w:val="24"/>
          <w:szCs w:val="24"/>
        </w:rPr>
        <w:t xml:space="preserve"> </w:t>
      </w:r>
      <w:r w:rsidRPr="009B1AD4">
        <w:rPr>
          <w:rFonts w:ascii="Times New Roman" w:eastAsia="標楷體" w:hAnsi="Times New Roman" w:cs="Times New Roman"/>
          <w:color w:val="000000" w:themeColor="text1"/>
          <w:sz w:val="24"/>
          <w:szCs w:val="24"/>
        </w:rPr>
        <w:t>A.,</w:t>
      </w:r>
      <w:r w:rsidRPr="009B1AD4">
        <w:rPr>
          <w:rFonts w:ascii="Times New Roman" w:eastAsia="標楷體" w:hAnsi="Times New Roman" w:cs="Times New Roman"/>
          <w:color w:val="000000" w:themeColor="text1"/>
          <w:spacing w:val="35"/>
          <w:sz w:val="24"/>
          <w:szCs w:val="24"/>
        </w:rPr>
        <w:t xml:space="preserve"> </w:t>
      </w:r>
      <w:r w:rsidRPr="009B1AD4">
        <w:rPr>
          <w:rFonts w:ascii="Times New Roman" w:eastAsia="標楷體" w:hAnsi="Times New Roman" w:cs="Times New Roman"/>
          <w:color w:val="000000" w:themeColor="text1"/>
          <w:sz w:val="24"/>
          <w:szCs w:val="24"/>
        </w:rPr>
        <w:t>&amp;</w:t>
      </w:r>
      <w:r w:rsidRPr="009B1AD4">
        <w:rPr>
          <w:rFonts w:ascii="Times New Roman" w:eastAsia="標楷體" w:hAnsi="Times New Roman" w:cs="Times New Roman"/>
          <w:color w:val="000000" w:themeColor="text1"/>
          <w:spacing w:val="35"/>
          <w:sz w:val="24"/>
          <w:szCs w:val="24"/>
        </w:rPr>
        <w:t xml:space="preserve"> </w:t>
      </w:r>
      <w:r w:rsidRPr="009B1AD4">
        <w:rPr>
          <w:rFonts w:ascii="Times New Roman" w:eastAsia="標楷體" w:hAnsi="Times New Roman" w:cs="Times New Roman"/>
          <w:color w:val="000000" w:themeColor="text1"/>
          <w:spacing w:val="-4"/>
          <w:sz w:val="24"/>
          <w:szCs w:val="24"/>
        </w:rPr>
        <w:t>Taylor,</w:t>
      </w:r>
      <w:r w:rsidRPr="009B1AD4">
        <w:rPr>
          <w:rFonts w:ascii="Times New Roman" w:eastAsia="標楷體" w:hAnsi="Times New Roman" w:cs="Times New Roman"/>
          <w:color w:val="000000" w:themeColor="text1"/>
          <w:spacing w:val="35"/>
          <w:sz w:val="24"/>
          <w:szCs w:val="24"/>
        </w:rPr>
        <w:t xml:space="preserve"> </w:t>
      </w:r>
      <w:r w:rsidRPr="009B1AD4">
        <w:rPr>
          <w:rFonts w:ascii="Times New Roman" w:eastAsia="標楷體" w:hAnsi="Times New Roman" w:cs="Times New Roman"/>
          <w:color w:val="000000" w:themeColor="text1"/>
          <w:sz w:val="24"/>
          <w:szCs w:val="24"/>
        </w:rPr>
        <w:t>J.</w:t>
      </w:r>
      <w:r w:rsidRPr="009B1AD4">
        <w:rPr>
          <w:rFonts w:ascii="Times New Roman" w:eastAsia="標楷體" w:hAnsi="Times New Roman" w:cs="Times New Roman"/>
          <w:color w:val="000000" w:themeColor="text1"/>
          <w:spacing w:val="35"/>
          <w:sz w:val="24"/>
          <w:szCs w:val="24"/>
        </w:rPr>
        <w:t xml:space="preserve"> </w:t>
      </w:r>
      <w:r w:rsidRPr="009B1AD4">
        <w:rPr>
          <w:rFonts w:ascii="Times New Roman" w:eastAsia="標楷體" w:hAnsi="Times New Roman" w:cs="Times New Roman"/>
          <w:color w:val="000000" w:themeColor="text1"/>
          <w:sz w:val="24"/>
          <w:szCs w:val="24"/>
        </w:rPr>
        <w:t>A.</w:t>
      </w:r>
      <w:r w:rsidRPr="009B1AD4">
        <w:rPr>
          <w:rFonts w:ascii="Times New Roman" w:eastAsia="標楷體" w:hAnsi="Times New Roman" w:cs="Times New Roman"/>
          <w:color w:val="000000" w:themeColor="text1"/>
          <w:spacing w:val="35"/>
          <w:sz w:val="24"/>
          <w:szCs w:val="24"/>
        </w:rPr>
        <w:t xml:space="preserve"> </w:t>
      </w:r>
      <w:r w:rsidRPr="009B1AD4">
        <w:rPr>
          <w:rFonts w:ascii="Times New Roman" w:eastAsia="標楷體" w:hAnsi="Times New Roman" w:cs="Times New Roman"/>
          <w:color w:val="000000" w:themeColor="text1"/>
          <w:sz w:val="24"/>
          <w:szCs w:val="24"/>
        </w:rPr>
        <w:t>(1955),“Anxiety</w:t>
      </w:r>
      <w:r w:rsidRPr="009B1AD4">
        <w:rPr>
          <w:rFonts w:ascii="Times New Roman" w:eastAsia="標楷體" w:hAnsi="Times New Roman" w:cs="Times New Roman"/>
          <w:color w:val="000000" w:themeColor="text1"/>
          <w:spacing w:val="35"/>
          <w:sz w:val="24"/>
          <w:szCs w:val="24"/>
        </w:rPr>
        <w:t xml:space="preserve"> </w:t>
      </w:r>
      <w:r w:rsidRPr="009B1AD4">
        <w:rPr>
          <w:rFonts w:ascii="Times New Roman" w:eastAsia="標楷體" w:hAnsi="Times New Roman" w:cs="Times New Roman"/>
          <w:color w:val="000000" w:themeColor="text1"/>
          <w:sz w:val="24"/>
          <w:szCs w:val="24"/>
        </w:rPr>
        <w:t>and</w:t>
      </w:r>
      <w:r w:rsidRPr="009B1AD4">
        <w:rPr>
          <w:rFonts w:ascii="Times New Roman" w:eastAsia="標楷體" w:hAnsi="Times New Roman" w:cs="Times New Roman"/>
          <w:color w:val="000000" w:themeColor="text1"/>
          <w:spacing w:val="35"/>
          <w:sz w:val="24"/>
          <w:szCs w:val="24"/>
        </w:rPr>
        <w:t xml:space="preserve"> </w:t>
      </w:r>
      <w:r w:rsidRPr="009B1AD4">
        <w:rPr>
          <w:rFonts w:ascii="Times New Roman" w:eastAsia="標楷體" w:hAnsi="Times New Roman" w:cs="Times New Roman"/>
          <w:color w:val="000000" w:themeColor="text1"/>
          <w:sz w:val="24"/>
          <w:szCs w:val="24"/>
        </w:rPr>
        <w:t>extreme</w:t>
      </w:r>
      <w:r w:rsidRPr="009B1AD4">
        <w:rPr>
          <w:rFonts w:ascii="Times New Roman" w:eastAsia="標楷體" w:hAnsi="Times New Roman" w:cs="Times New Roman"/>
          <w:color w:val="000000" w:themeColor="text1"/>
          <w:spacing w:val="36"/>
          <w:sz w:val="24"/>
          <w:szCs w:val="24"/>
        </w:rPr>
        <w:t xml:space="preserve"> </w:t>
      </w:r>
      <w:r w:rsidRPr="009B1AD4">
        <w:rPr>
          <w:rFonts w:ascii="Times New Roman" w:eastAsia="標楷體" w:hAnsi="Times New Roman" w:cs="Times New Roman"/>
          <w:color w:val="000000" w:themeColor="text1"/>
          <w:sz w:val="24"/>
          <w:szCs w:val="24"/>
        </w:rPr>
        <w:t>response</w:t>
      </w:r>
      <w:r w:rsidRPr="009B1AD4">
        <w:rPr>
          <w:rFonts w:ascii="Times New Roman" w:eastAsia="標楷體" w:hAnsi="Times New Roman" w:cs="Times New Roman"/>
          <w:color w:val="000000" w:themeColor="text1"/>
          <w:spacing w:val="35"/>
          <w:sz w:val="24"/>
          <w:szCs w:val="24"/>
        </w:rPr>
        <w:t xml:space="preserve"> </w:t>
      </w:r>
      <w:proofErr w:type="spellStart"/>
      <w:r w:rsidRPr="009B1AD4">
        <w:rPr>
          <w:rFonts w:ascii="Times New Roman" w:eastAsia="標楷體" w:hAnsi="Times New Roman" w:cs="Times New Roman"/>
          <w:color w:val="000000" w:themeColor="text1"/>
          <w:sz w:val="24"/>
          <w:szCs w:val="24"/>
        </w:rPr>
        <w:t>preferences</w:t>
      </w:r>
      <w:r w:rsidRPr="009B1AD4">
        <w:rPr>
          <w:rFonts w:ascii="Times New Roman" w:eastAsia="標楷體" w:hAnsi="標楷體" w:cs="Times New Roman"/>
          <w:color w:val="000000" w:themeColor="text1"/>
          <w:sz w:val="24"/>
          <w:szCs w:val="24"/>
        </w:rPr>
        <w:t>＂</w:t>
      </w:r>
      <w:r w:rsidRPr="009B1AD4">
        <w:rPr>
          <w:rFonts w:ascii="Times New Roman" w:eastAsia="標楷體" w:hAnsi="Times New Roman" w:cs="Times New Roman"/>
          <w:color w:val="000000" w:themeColor="text1"/>
          <w:sz w:val="24"/>
          <w:szCs w:val="24"/>
        </w:rPr>
        <w:t>,</w:t>
      </w:r>
      <w:r w:rsidRPr="009B1AD4">
        <w:rPr>
          <w:rFonts w:ascii="Times New Roman" w:eastAsia="標楷體" w:hAnsi="Times New Roman"/>
          <w:i/>
          <w:color w:val="000000" w:themeColor="text1"/>
          <w:sz w:val="24"/>
          <w:szCs w:val="24"/>
        </w:rPr>
        <w:t>Educational</w:t>
      </w:r>
      <w:proofErr w:type="spellEnd"/>
      <w:r w:rsidRPr="009B1AD4">
        <w:rPr>
          <w:rFonts w:ascii="Times New Roman" w:eastAsia="標楷體" w:hAnsi="Times New Roman"/>
          <w:i/>
          <w:color w:val="000000" w:themeColor="text1"/>
          <w:sz w:val="24"/>
          <w:szCs w:val="24"/>
        </w:rPr>
        <w:t xml:space="preserve"> and Psychological Measurement</w:t>
      </w:r>
      <w:r w:rsidRPr="009B1AD4">
        <w:rPr>
          <w:rFonts w:ascii="Times New Roman" w:eastAsia="標楷體" w:hAnsi="Times New Roman"/>
          <w:color w:val="000000" w:themeColor="text1"/>
          <w:sz w:val="24"/>
          <w:szCs w:val="24"/>
        </w:rPr>
        <w:t>,</w:t>
      </w:r>
      <w:r w:rsidRPr="009B1AD4">
        <w:rPr>
          <w:rFonts w:ascii="Times New Roman" w:eastAsia="標楷體" w:hAnsi="Times New Roman"/>
          <w:color w:val="000000" w:themeColor="text1"/>
          <w:spacing w:val="-4"/>
          <w:sz w:val="24"/>
          <w:szCs w:val="24"/>
        </w:rPr>
        <w:t xml:space="preserve"> pp.111-116.</w:t>
      </w:r>
    </w:p>
    <w:p w:rsidR="00DD3971" w:rsidRPr="009B1AD4" w:rsidRDefault="00DD3971" w:rsidP="00487B62">
      <w:pPr>
        <w:pStyle w:val="ab"/>
        <w:numPr>
          <w:ilvl w:val="0"/>
          <w:numId w:val="2"/>
        </w:numPr>
        <w:tabs>
          <w:tab w:val="left" w:pos="462"/>
        </w:tabs>
        <w:spacing w:line="302" w:lineRule="auto"/>
        <w:ind w:left="482" w:rightChars="51" w:right="122" w:hanging="482"/>
        <w:rPr>
          <w:rFonts w:ascii="Times New Roman" w:eastAsia="標楷體" w:hAnsi="Times New Roman" w:cs="Times New Roman"/>
          <w:color w:val="000000" w:themeColor="text1"/>
          <w:sz w:val="24"/>
          <w:szCs w:val="24"/>
        </w:rPr>
      </w:pPr>
      <w:proofErr w:type="spellStart"/>
      <w:r w:rsidRPr="009B1AD4">
        <w:rPr>
          <w:rFonts w:ascii="Times New Roman" w:eastAsia="標楷體" w:hAnsi="Times New Roman" w:cs="Times New Roman"/>
          <w:color w:val="000000" w:themeColor="text1"/>
          <w:sz w:val="24"/>
          <w:szCs w:val="24"/>
        </w:rPr>
        <w:t>Mandell</w:t>
      </w:r>
      <w:proofErr w:type="spellEnd"/>
      <w:r w:rsidRPr="009B1AD4">
        <w:rPr>
          <w:rFonts w:ascii="Times New Roman" w:eastAsia="標楷體" w:hAnsi="Times New Roman" w:cs="Times New Roman"/>
          <w:color w:val="000000" w:themeColor="text1"/>
          <w:sz w:val="24"/>
          <w:szCs w:val="24"/>
        </w:rPr>
        <w:t>, M. M. (1956),“Supervisory characteristics and ratings: A summary of recent research</w:t>
      </w:r>
      <w:r w:rsidRPr="009B1AD4">
        <w:rPr>
          <w:rFonts w:ascii="Times New Roman" w:eastAsia="標楷體" w:hAnsi="標楷體" w:cs="Times New Roman"/>
          <w:color w:val="000000" w:themeColor="text1"/>
          <w:sz w:val="24"/>
          <w:szCs w:val="24"/>
        </w:rPr>
        <w:t>＂</w:t>
      </w:r>
      <w:r w:rsidRPr="009B1AD4">
        <w:rPr>
          <w:rFonts w:ascii="Times New Roman" w:eastAsia="標楷體" w:hAnsi="Times New Roman" w:cs="Times New Roman"/>
          <w:color w:val="000000" w:themeColor="text1"/>
          <w:sz w:val="24"/>
          <w:szCs w:val="24"/>
        </w:rPr>
        <w:t xml:space="preserve">, </w:t>
      </w:r>
      <w:r w:rsidRPr="009B1AD4">
        <w:rPr>
          <w:rFonts w:ascii="Times New Roman" w:eastAsia="標楷體" w:hAnsi="Times New Roman" w:cs="Times New Roman"/>
          <w:i/>
          <w:color w:val="000000" w:themeColor="text1"/>
          <w:sz w:val="24"/>
          <w:szCs w:val="24"/>
        </w:rPr>
        <w:t>Personnel Psychology</w:t>
      </w:r>
      <w:r w:rsidRPr="009B1AD4">
        <w:rPr>
          <w:rFonts w:ascii="Times New Roman" w:eastAsia="標楷體" w:hAnsi="Times New Roman" w:cs="Times New Roman"/>
          <w:color w:val="000000" w:themeColor="text1"/>
          <w:sz w:val="24"/>
          <w:szCs w:val="24"/>
        </w:rPr>
        <w:t xml:space="preserve">, </w:t>
      </w:r>
      <w:r w:rsidRPr="009B1AD4">
        <w:rPr>
          <w:rFonts w:ascii="Times New Roman" w:eastAsia="標楷體" w:hAnsi="Times New Roman" w:cs="Times New Roman"/>
          <w:color w:val="000000" w:themeColor="text1"/>
          <w:spacing w:val="-5"/>
          <w:sz w:val="24"/>
          <w:szCs w:val="24"/>
        </w:rPr>
        <w:t>Vol.32,</w:t>
      </w:r>
      <w:r w:rsidRPr="009B1AD4">
        <w:rPr>
          <w:rFonts w:ascii="Times New Roman" w:eastAsia="標楷體" w:hAnsi="Times New Roman" w:cs="Times New Roman"/>
          <w:color w:val="000000" w:themeColor="text1"/>
          <w:spacing w:val="-8"/>
          <w:sz w:val="24"/>
          <w:szCs w:val="24"/>
        </w:rPr>
        <w:t xml:space="preserve"> </w:t>
      </w:r>
      <w:r w:rsidRPr="009B1AD4">
        <w:rPr>
          <w:rFonts w:ascii="Times New Roman" w:eastAsia="標楷體" w:hAnsi="Times New Roman" w:cs="Times New Roman"/>
          <w:color w:val="000000" w:themeColor="text1"/>
          <w:sz w:val="24"/>
          <w:szCs w:val="24"/>
        </w:rPr>
        <w:t>pp.435-440.</w:t>
      </w:r>
    </w:p>
    <w:p w:rsidR="00DD3971" w:rsidRPr="009B1AD4" w:rsidRDefault="00DD3971" w:rsidP="00487B62">
      <w:pPr>
        <w:pStyle w:val="ab"/>
        <w:numPr>
          <w:ilvl w:val="0"/>
          <w:numId w:val="2"/>
        </w:numPr>
        <w:tabs>
          <w:tab w:val="left" w:pos="462"/>
        </w:tabs>
        <w:spacing w:line="348" w:lineRule="auto"/>
        <w:ind w:left="482" w:rightChars="50" w:right="120" w:hanging="482"/>
        <w:rPr>
          <w:rFonts w:ascii="Times New Roman" w:eastAsia="標楷體" w:hAnsi="Times New Roman" w:cs="Times New Roman"/>
          <w:color w:val="000000" w:themeColor="text1"/>
          <w:sz w:val="24"/>
          <w:szCs w:val="24"/>
        </w:rPr>
      </w:pPr>
      <w:r w:rsidRPr="009B1AD4">
        <w:rPr>
          <w:rFonts w:ascii="Times New Roman" w:eastAsia="標楷體" w:hAnsi="Times New Roman" w:cs="Times New Roman"/>
          <w:color w:val="000000" w:themeColor="text1"/>
          <w:sz w:val="24"/>
          <w:szCs w:val="24"/>
        </w:rPr>
        <w:t xml:space="preserve">O’Connor, </w:t>
      </w:r>
      <w:r w:rsidRPr="009B1AD4">
        <w:rPr>
          <w:rFonts w:ascii="Times New Roman" w:eastAsia="標楷體" w:hAnsi="Times New Roman" w:cs="Times New Roman"/>
          <w:color w:val="000000" w:themeColor="text1"/>
          <w:spacing w:val="-12"/>
          <w:sz w:val="24"/>
          <w:szCs w:val="24"/>
        </w:rPr>
        <w:t xml:space="preserve">W. </w:t>
      </w:r>
      <w:r w:rsidRPr="009B1AD4">
        <w:rPr>
          <w:rFonts w:ascii="Times New Roman" w:eastAsia="標楷體" w:hAnsi="Times New Roman" w:cs="Times New Roman"/>
          <w:color w:val="000000" w:themeColor="text1"/>
          <w:sz w:val="24"/>
          <w:szCs w:val="24"/>
        </w:rPr>
        <w:t xml:space="preserve">E., &amp; Morrison, </w:t>
      </w:r>
      <w:r w:rsidRPr="009B1AD4">
        <w:rPr>
          <w:rFonts w:ascii="Times New Roman" w:eastAsia="標楷體" w:hAnsi="Times New Roman" w:cs="Times New Roman"/>
          <w:color w:val="000000" w:themeColor="text1"/>
          <w:spacing w:val="-10"/>
          <w:sz w:val="24"/>
          <w:szCs w:val="24"/>
        </w:rPr>
        <w:t xml:space="preserve">T. </w:t>
      </w:r>
      <w:r w:rsidRPr="009B1AD4">
        <w:rPr>
          <w:rFonts w:ascii="Times New Roman" w:eastAsia="標楷體" w:hAnsi="Times New Roman" w:cs="Times New Roman"/>
          <w:color w:val="000000" w:themeColor="text1"/>
          <w:spacing w:val="-15"/>
          <w:sz w:val="24"/>
          <w:szCs w:val="24"/>
        </w:rPr>
        <w:t xml:space="preserve">G. </w:t>
      </w:r>
      <w:r w:rsidRPr="009B1AD4">
        <w:rPr>
          <w:rFonts w:ascii="Times New Roman" w:eastAsia="標楷體" w:hAnsi="Times New Roman" w:cs="Times New Roman"/>
          <w:color w:val="000000" w:themeColor="text1"/>
          <w:sz w:val="24"/>
          <w:szCs w:val="24"/>
        </w:rPr>
        <w:t>(2001), “A comparison of situational and dispositional predictors of perceptions of organizational politics” ,</w:t>
      </w:r>
      <w:r w:rsidRPr="009B1AD4">
        <w:rPr>
          <w:rFonts w:ascii="Times New Roman" w:eastAsia="標楷體" w:hAnsi="Times New Roman" w:cs="Times New Roman"/>
          <w:i/>
          <w:color w:val="000000" w:themeColor="text1"/>
          <w:sz w:val="24"/>
          <w:szCs w:val="24"/>
        </w:rPr>
        <w:t>The Journal of Psychology</w:t>
      </w:r>
      <w:r w:rsidRPr="009B1AD4">
        <w:rPr>
          <w:rFonts w:ascii="Times New Roman" w:eastAsia="標楷體" w:hAnsi="Times New Roman" w:cs="Times New Roman"/>
          <w:color w:val="000000" w:themeColor="text1"/>
          <w:sz w:val="24"/>
          <w:szCs w:val="24"/>
        </w:rPr>
        <w:t xml:space="preserve">, </w:t>
      </w:r>
      <w:r w:rsidRPr="009B1AD4">
        <w:rPr>
          <w:rFonts w:ascii="Times New Roman" w:eastAsia="標楷體" w:hAnsi="Times New Roman" w:cs="Times New Roman"/>
          <w:color w:val="000000" w:themeColor="text1"/>
          <w:spacing w:val="-5"/>
          <w:sz w:val="24"/>
          <w:szCs w:val="24"/>
        </w:rPr>
        <w:t xml:space="preserve">Vol.135 </w:t>
      </w:r>
      <w:r w:rsidRPr="009B1AD4">
        <w:rPr>
          <w:rFonts w:ascii="Times New Roman" w:eastAsia="標楷體" w:hAnsi="Times New Roman" w:cs="Times New Roman"/>
          <w:color w:val="000000" w:themeColor="text1"/>
          <w:sz w:val="24"/>
          <w:szCs w:val="24"/>
        </w:rPr>
        <w:t>(3),</w:t>
      </w:r>
      <w:r w:rsidRPr="009B1AD4">
        <w:rPr>
          <w:rFonts w:ascii="Times New Roman" w:eastAsia="標楷體" w:hAnsi="Times New Roman" w:cs="Times New Roman"/>
          <w:color w:val="000000" w:themeColor="text1"/>
          <w:spacing w:val="-1"/>
          <w:sz w:val="24"/>
          <w:szCs w:val="24"/>
        </w:rPr>
        <w:t xml:space="preserve"> </w:t>
      </w:r>
      <w:r w:rsidRPr="009B1AD4">
        <w:rPr>
          <w:rFonts w:ascii="Times New Roman" w:eastAsia="標楷體" w:hAnsi="Times New Roman" w:cs="Times New Roman"/>
          <w:color w:val="000000" w:themeColor="text1"/>
          <w:sz w:val="24"/>
          <w:szCs w:val="24"/>
        </w:rPr>
        <w:t>pp.301-312.</w:t>
      </w:r>
    </w:p>
    <w:p w:rsidR="00907F52" w:rsidRPr="009B1AD4" w:rsidRDefault="00907F52" w:rsidP="006423CA">
      <w:pPr>
        <w:pStyle w:val="a9"/>
        <w:spacing w:before="14" w:line="302" w:lineRule="auto"/>
        <w:ind w:right="121"/>
        <w:jc w:val="both"/>
        <w:rPr>
          <w:rFonts w:ascii="標楷體" w:eastAsia="標楷體" w:hAnsi="標楷體" w:hint="eastAsia"/>
          <w:color w:val="000000" w:themeColor="text1"/>
          <w:lang w:eastAsia="zh-TW"/>
        </w:rPr>
      </w:pPr>
    </w:p>
    <w:sectPr w:rsidR="00907F52" w:rsidRPr="009B1AD4" w:rsidSect="006423CA">
      <w:pgSz w:w="11910" w:h="16840"/>
      <w:pgMar w:top="1480" w:right="1120" w:bottom="280" w:left="16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62F" w:rsidRDefault="00E1762F" w:rsidP="00AE091D">
      <w:r>
        <w:separator/>
      </w:r>
    </w:p>
  </w:endnote>
  <w:endnote w:type="continuationSeparator" w:id="0">
    <w:p w:rsidR="00E1762F" w:rsidRDefault="00E1762F" w:rsidP="00AE09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DFKai-SB">
    <w:altName w:val="Arabic Typesetting"/>
    <w:charset w:val="00"/>
    <w:family w:val="script"/>
    <w:pitch w:val="fixed"/>
    <w:sig w:usb0="00000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62F" w:rsidRDefault="00E1762F" w:rsidP="00AE091D">
      <w:r>
        <w:separator/>
      </w:r>
    </w:p>
  </w:footnote>
  <w:footnote w:type="continuationSeparator" w:id="0">
    <w:p w:rsidR="00E1762F" w:rsidRDefault="00E1762F" w:rsidP="00AE09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80784"/>
    <w:multiLevelType w:val="hybridMultilevel"/>
    <w:tmpl w:val="8D0A1D74"/>
    <w:lvl w:ilvl="0" w:tplc="8E9A1792">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C1807C7"/>
    <w:multiLevelType w:val="hybridMultilevel"/>
    <w:tmpl w:val="046845E2"/>
    <w:lvl w:ilvl="0" w:tplc="86CE2122">
      <w:start w:val="3"/>
      <w:numFmt w:val="decimal"/>
      <w:lvlText w:val="%1."/>
      <w:lvlJc w:val="left"/>
      <w:pPr>
        <w:ind w:left="461" w:hanging="360"/>
      </w:pPr>
      <w:rPr>
        <w:rFonts w:ascii="Times New Roman" w:eastAsia="Times New Roman" w:hAnsi="Times New Roman" w:hint="default"/>
        <w:spacing w:val="-30"/>
        <w:w w:val="99"/>
        <w:sz w:val="24"/>
        <w:szCs w:val="24"/>
      </w:rPr>
    </w:lvl>
    <w:lvl w:ilvl="1" w:tplc="5CA80106">
      <w:start w:val="1"/>
      <w:numFmt w:val="bullet"/>
      <w:lvlText w:val="•"/>
      <w:lvlJc w:val="left"/>
      <w:pPr>
        <w:ind w:left="1326" w:hanging="360"/>
      </w:pPr>
      <w:rPr>
        <w:rFonts w:hint="default"/>
      </w:rPr>
    </w:lvl>
    <w:lvl w:ilvl="2" w:tplc="8A72E22A">
      <w:start w:val="1"/>
      <w:numFmt w:val="bullet"/>
      <w:lvlText w:val="•"/>
      <w:lvlJc w:val="left"/>
      <w:pPr>
        <w:ind w:left="2192" w:hanging="360"/>
      </w:pPr>
      <w:rPr>
        <w:rFonts w:hint="default"/>
      </w:rPr>
    </w:lvl>
    <w:lvl w:ilvl="3" w:tplc="EFE6DA64">
      <w:start w:val="1"/>
      <w:numFmt w:val="bullet"/>
      <w:lvlText w:val="•"/>
      <w:lvlJc w:val="left"/>
      <w:pPr>
        <w:ind w:left="3059" w:hanging="360"/>
      </w:pPr>
      <w:rPr>
        <w:rFonts w:hint="default"/>
      </w:rPr>
    </w:lvl>
    <w:lvl w:ilvl="4" w:tplc="CBECD94C">
      <w:start w:val="1"/>
      <w:numFmt w:val="bullet"/>
      <w:lvlText w:val="•"/>
      <w:lvlJc w:val="left"/>
      <w:pPr>
        <w:ind w:left="3925" w:hanging="360"/>
      </w:pPr>
      <w:rPr>
        <w:rFonts w:hint="default"/>
      </w:rPr>
    </w:lvl>
    <w:lvl w:ilvl="5" w:tplc="C170608E">
      <w:start w:val="1"/>
      <w:numFmt w:val="bullet"/>
      <w:lvlText w:val="•"/>
      <w:lvlJc w:val="left"/>
      <w:pPr>
        <w:ind w:left="4792" w:hanging="360"/>
      </w:pPr>
      <w:rPr>
        <w:rFonts w:hint="default"/>
      </w:rPr>
    </w:lvl>
    <w:lvl w:ilvl="6" w:tplc="C7489A04">
      <w:start w:val="1"/>
      <w:numFmt w:val="bullet"/>
      <w:lvlText w:val="•"/>
      <w:lvlJc w:val="left"/>
      <w:pPr>
        <w:ind w:left="5658" w:hanging="360"/>
      </w:pPr>
      <w:rPr>
        <w:rFonts w:hint="default"/>
      </w:rPr>
    </w:lvl>
    <w:lvl w:ilvl="7" w:tplc="07A00A12">
      <w:start w:val="1"/>
      <w:numFmt w:val="bullet"/>
      <w:lvlText w:val="•"/>
      <w:lvlJc w:val="left"/>
      <w:pPr>
        <w:ind w:left="6525" w:hanging="360"/>
      </w:pPr>
      <w:rPr>
        <w:rFonts w:hint="default"/>
      </w:rPr>
    </w:lvl>
    <w:lvl w:ilvl="8" w:tplc="C51C4A0A">
      <w:start w:val="1"/>
      <w:numFmt w:val="bullet"/>
      <w:lvlText w:val="•"/>
      <w:lvlJc w:val="left"/>
      <w:pPr>
        <w:ind w:left="7391" w:hanging="360"/>
      </w:pPr>
      <w:rPr>
        <w:rFonts w:hint="default"/>
      </w:rPr>
    </w:lvl>
  </w:abstractNum>
  <w:abstractNum w:abstractNumId="2">
    <w:nsid w:val="5AC61ED8"/>
    <w:multiLevelType w:val="hybridMultilevel"/>
    <w:tmpl w:val="0F5477EE"/>
    <w:lvl w:ilvl="0" w:tplc="408ED9A2">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F976AF0"/>
    <w:multiLevelType w:val="hybridMultilevel"/>
    <w:tmpl w:val="AA3C614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CC52196"/>
    <w:multiLevelType w:val="hybridMultilevel"/>
    <w:tmpl w:val="6F5ED09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03E8"/>
    <w:rsid w:val="00021597"/>
    <w:rsid w:val="00040151"/>
    <w:rsid w:val="0004094C"/>
    <w:rsid w:val="000738A5"/>
    <w:rsid w:val="000A59E5"/>
    <w:rsid w:val="000B3945"/>
    <w:rsid w:val="000B47A9"/>
    <w:rsid w:val="000C612F"/>
    <w:rsid w:val="000D0B4B"/>
    <w:rsid w:val="000D675F"/>
    <w:rsid w:val="00116C48"/>
    <w:rsid w:val="00135205"/>
    <w:rsid w:val="00140D16"/>
    <w:rsid w:val="0015403E"/>
    <w:rsid w:val="001A240D"/>
    <w:rsid w:val="001B03DE"/>
    <w:rsid w:val="001C06C6"/>
    <w:rsid w:val="001C1AD0"/>
    <w:rsid w:val="002214EE"/>
    <w:rsid w:val="002B5CB6"/>
    <w:rsid w:val="002B7B8B"/>
    <w:rsid w:val="002F0495"/>
    <w:rsid w:val="00313883"/>
    <w:rsid w:val="00347630"/>
    <w:rsid w:val="0037518F"/>
    <w:rsid w:val="003938F2"/>
    <w:rsid w:val="00395F46"/>
    <w:rsid w:val="003F5993"/>
    <w:rsid w:val="00427D6B"/>
    <w:rsid w:val="00467299"/>
    <w:rsid w:val="00487B62"/>
    <w:rsid w:val="004F24FF"/>
    <w:rsid w:val="004F54EE"/>
    <w:rsid w:val="00507A9E"/>
    <w:rsid w:val="00524D77"/>
    <w:rsid w:val="00553A11"/>
    <w:rsid w:val="00565C7D"/>
    <w:rsid w:val="00580492"/>
    <w:rsid w:val="00591AB5"/>
    <w:rsid w:val="005A29EB"/>
    <w:rsid w:val="005C10A7"/>
    <w:rsid w:val="005D4BAB"/>
    <w:rsid w:val="005F0E39"/>
    <w:rsid w:val="005F288B"/>
    <w:rsid w:val="00640F99"/>
    <w:rsid w:val="006423CA"/>
    <w:rsid w:val="00642D92"/>
    <w:rsid w:val="00674071"/>
    <w:rsid w:val="006A3978"/>
    <w:rsid w:val="006B761F"/>
    <w:rsid w:val="006C3AC0"/>
    <w:rsid w:val="00720C9D"/>
    <w:rsid w:val="00727F9E"/>
    <w:rsid w:val="00750100"/>
    <w:rsid w:val="007C4BF3"/>
    <w:rsid w:val="007E1530"/>
    <w:rsid w:val="007F2C03"/>
    <w:rsid w:val="007F4FE4"/>
    <w:rsid w:val="00806937"/>
    <w:rsid w:val="00820E98"/>
    <w:rsid w:val="008A3100"/>
    <w:rsid w:val="008B64CA"/>
    <w:rsid w:val="008D26F3"/>
    <w:rsid w:val="008E283B"/>
    <w:rsid w:val="008F7A6A"/>
    <w:rsid w:val="00907F52"/>
    <w:rsid w:val="0092317C"/>
    <w:rsid w:val="009401A3"/>
    <w:rsid w:val="00940FC4"/>
    <w:rsid w:val="00971885"/>
    <w:rsid w:val="009A19B8"/>
    <w:rsid w:val="009A5A9E"/>
    <w:rsid w:val="009B1AD4"/>
    <w:rsid w:val="009B22E4"/>
    <w:rsid w:val="00A1525C"/>
    <w:rsid w:val="00AC68B1"/>
    <w:rsid w:val="00AE091D"/>
    <w:rsid w:val="00B269A8"/>
    <w:rsid w:val="00B51C54"/>
    <w:rsid w:val="00BA184C"/>
    <w:rsid w:val="00BC3361"/>
    <w:rsid w:val="00BE5895"/>
    <w:rsid w:val="00C00BCF"/>
    <w:rsid w:val="00C014E3"/>
    <w:rsid w:val="00C32362"/>
    <w:rsid w:val="00C4738F"/>
    <w:rsid w:val="00C517CD"/>
    <w:rsid w:val="00C71010"/>
    <w:rsid w:val="00C92717"/>
    <w:rsid w:val="00C93C4D"/>
    <w:rsid w:val="00CA0068"/>
    <w:rsid w:val="00CB38A7"/>
    <w:rsid w:val="00CC03E8"/>
    <w:rsid w:val="00CE7563"/>
    <w:rsid w:val="00CE7C4F"/>
    <w:rsid w:val="00CF3F93"/>
    <w:rsid w:val="00D21012"/>
    <w:rsid w:val="00D475FB"/>
    <w:rsid w:val="00D51E0D"/>
    <w:rsid w:val="00D82616"/>
    <w:rsid w:val="00DA70E2"/>
    <w:rsid w:val="00DC53F3"/>
    <w:rsid w:val="00DD3971"/>
    <w:rsid w:val="00DE11E9"/>
    <w:rsid w:val="00E1762F"/>
    <w:rsid w:val="00E51D9C"/>
    <w:rsid w:val="00E55DA6"/>
    <w:rsid w:val="00E662E6"/>
    <w:rsid w:val="00E83C0C"/>
    <w:rsid w:val="00E87E91"/>
    <w:rsid w:val="00EB090D"/>
    <w:rsid w:val="00EE29C5"/>
    <w:rsid w:val="00F16220"/>
    <w:rsid w:val="00F5224F"/>
    <w:rsid w:val="00F76018"/>
    <w:rsid w:val="00FF174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3E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E091D"/>
    <w:pPr>
      <w:tabs>
        <w:tab w:val="center" w:pos="4153"/>
        <w:tab w:val="right" w:pos="8306"/>
      </w:tabs>
      <w:snapToGrid w:val="0"/>
    </w:pPr>
    <w:rPr>
      <w:sz w:val="20"/>
      <w:szCs w:val="20"/>
    </w:rPr>
  </w:style>
  <w:style w:type="character" w:customStyle="1" w:styleId="a4">
    <w:name w:val="頁首 字元"/>
    <w:basedOn w:val="a0"/>
    <w:link w:val="a3"/>
    <w:uiPriority w:val="99"/>
    <w:semiHidden/>
    <w:rsid w:val="00AE091D"/>
    <w:rPr>
      <w:rFonts w:ascii="Calibri" w:eastAsia="新細明體" w:hAnsi="Calibri" w:cs="Times New Roman"/>
      <w:sz w:val="20"/>
      <w:szCs w:val="20"/>
    </w:rPr>
  </w:style>
  <w:style w:type="paragraph" w:styleId="a5">
    <w:name w:val="footer"/>
    <w:basedOn w:val="a"/>
    <w:link w:val="a6"/>
    <w:uiPriority w:val="99"/>
    <w:semiHidden/>
    <w:unhideWhenUsed/>
    <w:rsid w:val="00AE091D"/>
    <w:pPr>
      <w:tabs>
        <w:tab w:val="center" w:pos="4153"/>
        <w:tab w:val="right" w:pos="8306"/>
      </w:tabs>
      <w:snapToGrid w:val="0"/>
    </w:pPr>
    <w:rPr>
      <w:sz w:val="20"/>
      <w:szCs w:val="20"/>
    </w:rPr>
  </w:style>
  <w:style w:type="character" w:customStyle="1" w:styleId="a6">
    <w:name w:val="頁尾 字元"/>
    <w:basedOn w:val="a0"/>
    <w:link w:val="a5"/>
    <w:uiPriority w:val="99"/>
    <w:semiHidden/>
    <w:rsid w:val="00AE091D"/>
    <w:rPr>
      <w:rFonts w:ascii="Calibri" w:eastAsia="新細明體" w:hAnsi="Calibri" w:cs="Times New Roman"/>
      <w:sz w:val="20"/>
      <w:szCs w:val="20"/>
    </w:rPr>
  </w:style>
  <w:style w:type="paragraph" w:styleId="a7">
    <w:name w:val="Balloon Text"/>
    <w:basedOn w:val="a"/>
    <w:link w:val="a8"/>
    <w:uiPriority w:val="99"/>
    <w:semiHidden/>
    <w:unhideWhenUsed/>
    <w:rsid w:val="00E87E91"/>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87E91"/>
    <w:rPr>
      <w:rFonts w:asciiTheme="majorHAnsi" w:eastAsiaTheme="majorEastAsia" w:hAnsiTheme="majorHAnsi" w:cstheme="majorBidi"/>
      <w:sz w:val="18"/>
      <w:szCs w:val="18"/>
    </w:rPr>
  </w:style>
  <w:style w:type="paragraph" w:styleId="a9">
    <w:name w:val="Body Text"/>
    <w:basedOn w:val="a"/>
    <w:link w:val="aa"/>
    <w:uiPriority w:val="1"/>
    <w:qFormat/>
    <w:rsid w:val="00CE7563"/>
    <w:pPr>
      <w:spacing w:before="10"/>
      <w:ind w:left="120"/>
    </w:pPr>
    <w:rPr>
      <w:rFonts w:ascii="DFKai-SB" w:eastAsia="DFKai-SB" w:hAnsi="DFKai-SB" w:cstheme="minorBidi"/>
      <w:kern w:val="0"/>
      <w:szCs w:val="24"/>
      <w:lang w:eastAsia="en-US"/>
    </w:rPr>
  </w:style>
  <w:style w:type="character" w:customStyle="1" w:styleId="aa">
    <w:name w:val="本文 字元"/>
    <w:basedOn w:val="a0"/>
    <w:link w:val="a9"/>
    <w:uiPriority w:val="1"/>
    <w:rsid w:val="00CE7563"/>
    <w:rPr>
      <w:rFonts w:ascii="DFKai-SB" w:eastAsia="DFKai-SB" w:hAnsi="DFKai-SB"/>
      <w:kern w:val="0"/>
      <w:szCs w:val="24"/>
      <w:lang w:eastAsia="en-US"/>
    </w:rPr>
  </w:style>
  <w:style w:type="paragraph" w:customStyle="1" w:styleId="Heading1">
    <w:name w:val="Heading 1"/>
    <w:basedOn w:val="a"/>
    <w:uiPriority w:val="1"/>
    <w:qFormat/>
    <w:rsid w:val="00CE7563"/>
    <w:pPr>
      <w:ind w:left="220"/>
      <w:outlineLvl w:val="1"/>
    </w:pPr>
    <w:rPr>
      <w:rFonts w:ascii="DFKai-SB" w:eastAsia="DFKai-SB" w:hAnsi="DFKai-SB" w:cstheme="minorBidi"/>
      <w:b/>
      <w:bCs/>
      <w:kern w:val="0"/>
      <w:szCs w:val="24"/>
      <w:lang w:eastAsia="en-US"/>
    </w:rPr>
  </w:style>
  <w:style w:type="table" w:customStyle="1" w:styleId="TableNormal">
    <w:name w:val="Table Normal"/>
    <w:uiPriority w:val="2"/>
    <w:semiHidden/>
    <w:unhideWhenUsed/>
    <w:qFormat/>
    <w:rsid w:val="00CE7563"/>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E7563"/>
    <w:rPr>
      <w:rFonts w:asciiTheme="minorHAnsi" w:eastAsiaTheme="minorEastAsia" w:hAnsiTheme="minorHAnsi" w:cstheme="minorBidi"/>
      <w:kern w:val="0"/>
      <w:sz w:val="22"/>
      <w:lang w:eastAsia="en-US"/>
    </w:rPr>
  </w:style>
  <w:style w:type="paragraph" w:customStyle="1" w:styleId="Heading5">
    <w:name w:val="Heading 5"/>
    <w:basedOn w:val="a"/>
    <w:uiPriority w:val="1"/>
    <w:qFormat/>
    <w:rsid w:val="008E283B"/>
    <w:pPr>
      <w:ind w:left="101"/>
      <w:outlineLvl w:val="5"/>
    </w:pPr>
    <w:rPr>
      <w:rFonts w:ascii="DFKai-SB" w:eastAsia="DFKai-SB" w:hAnsi="DFKai-SB" w:cstheme="minorBidi"/>
      <w:b/>
      <w:bCs/>
      <w:kern w:val="0"/>
      <w:szCs w:val="24"/>
      <w:lang w:eastAsia="en-US"/>
    </w:rPr>
  </w:style>
  <w:style w:type="paragraph" w:customStyle="1" w:styleId="Heading3">
    <w:name w:val="Heading 3"/>
    <w:basedOn w:val="a"/>
    <w:uiPriority w:val="1"/>
    <w:qFormat/>
    <w:rsid w:val="00DD3971"/>
    <w:pPr>
      <w:outlineLvl w:val="3"/>
    </w:pPr>
    <w:rPr>
      <w:rFonts w:ascii="DFKai-SB" w:eastAsia="DFKai-SB" w:hAnsi="DFKai-SB" w:cstheme="minorBidi"/>
      <w:b/>
      <w:bCs/>
      <w:kern w:val="0"/>
      <w:sz w:val="32"/>
      <w:szCs w:val="32"/>
      <w:lang w:eastAsia="en-US"/>
    </w:rPr>
  </w:style>
  <w:style w:type="paragraph" w:styleId="ab">
    <w:name w:val="List Paragraph"/>
    <w:basedOn w:val="a"/>
    <w:uiPriority w:val="1"/>
    <w:qFormat/>
    <w:rsid w:val="00DD3971"/>
    <w:rPr>
      <w:rFonts w:asciiTheme="minorHAnsi" w:eastAsiaTheme="minorEastAsia" w:hAnsiTheme="minorHAnsi" w:cstheme="minorBidi"/>
      <w:kern w:val="0"/>
      <w:sz w:val="22"/>
      <w:lang w:eastAsia="en-US"/>
    </w:rPr>
  </w:style>
  <w:style w:type="paragraph" w:customStyle="1" w:styleId="Heading2">
    <w:name w:val="Heading 2"/>
    <w:basedOn w:val="a"/>
    <w:uiPriority w:val="1"/>
    <w:qFormat/>
    <w:rsid w:val="005A29EB"/>
    <w:pPr>
      <w:ind w:left="565"/>
      <w:outlineLvl w:val="2"/>
    </w:pPr>
    <w:rPr>
      <w:rFonts w:ascii="DFKai-SB" w:eastAsia="DFKai-SB" w:hAnsi="DFKai-SB" w:cstheme="minorBidi"/>
      <w:kern w:val="0"/>
      <w:sz w:val="36"/>
      <w:szCs w:val="36"/>
      <w:lang w:eastAsia="en-US"/>
    </w:rPr>
  </w:style>
</w:styles>
</file>

<file path=word/webSettings.xml><?xml version="1.0" encoding="utf-8"?>
<w:webSettings xmlns:r="http://schemas.openxmlformats.org/officeDocument/2006/relationships" xmlns:w="http://schemas.openxmlformats.org/wordprocessingml/2006/main">
  <w:divs>
    <w:div w:id="103773631">
      <w:bodyDiv w:val="1"/>
      <w:marLeft w:val="0"/>
      <w:marRight w:val="0"/>
      <w:marTop w:val="0"/>
      <w:marBottom w:val="0"/>
      <w:divBdr>
        <w:top w:val="none" w:sz="0" w:space="0" w:color="auto"/>
        <w:left w:val="none" w:sz="0" w:space="0" w:color="auto"/>
        <w:bottom w:val="none" w:sz="0" w:space="0" w:color="auto"/>
        <w:right w:val="none" w:sz="0" w:space="0" w:color="auto"/>
      </w:divBdr>
    </w:div>
    <w:div w:id="82208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63E40-0890-4279-BD4B-4F78A7876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4215</Characters>
  <Application>Microsoft Office Word</Application>
  <DocSecurity>0</DocSecurity>
  <Lines>35</Lines>
  <Paragraphs>9</Paragraphs>
  <ScaleCrop>false</ScaleCrop>
  <Company/>
  <LinksUpToDate>false</LinksUpToDate>
  <CharactersWithSpaces>4945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黃詩揚</dc:creator>
  <cp:lastModifiedBy>黃詩揚</cp:lastModifiedBy>
  <cp:revision>2</cp:revision>
  <dcterms:created xsi:type="dcterms:W3CDTF">2015-12-20T03:22:00Z</dcterms:created>
  <dcterms:modified xsi:type="dcterms:W3CDTF">2015-12-20T03:22:00Z</dcterms:modified>
</cp:coreProperties>
</file>