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52" w:rsidRPr="003414BF" w:rsidRDefault="004B6352" w:rsidP="00825E9E">
      <w:pPr>
        <w:adjustRightInd w:val="0"/>
        <w:snapToGrid w:val="0"/>
        <w:spacing w:afterLines="5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Toc275106874"/>
      <w:r w:rsidRPr="003414BF">
        <w:rPr>
          <w:rFonts w:ascii="標楷體" w:eastAsia="標楷體" w:hAnsi="標楷體"/>
          <w:b/>
          <w:bCs/>
          <w:sz w:val="28"/>
          <w:szCs w:val="28"/>
        </w:rPr>
        <w:t>職業訓練成效評估</w:t>
      </w:r>
      <w:bookmarkEnd w:id="0"/>
      <w:r w:rsidRPr="003414BF">
        <w:rPr>
          <w:rFonts w:ascii="標楷體" w:eastAsia="標楷體" w:hAnsi="標楷體" w:hint="eastAsia"/>
          <w:b/>
          <w:bCs/>
          <w:sz w:val="28"/>
          <w:szCs w:val="28"/>
        </w:rPr>
        <w:t>：以</w:t>
      </w:r>
      <w:r w:rsidRPr="003414BF">
        <w:rPr>
          <w:rFonts w:ascii="標楷體" w:eastAsia="標楷體" w:hAnsi="標楷體"/>
          <w:b/>
          <w:sz w:val="28"/>
          <w:szCs w:val="28"/>
        </w:rPr>
        <w:t>外籍配偶參加職業訓練成效之評估</w:t>
      </w:r>
      <w:r w:rsidRPr="003414BF">
        <w:rPr>
          <w:rFonts w:ascii="標楷體" w:eastAsia="標楷體" w:hAnsi="標楷體" w:hint="eastAsia"/>
          <w:b/>
          <w:sz w:val="28"/>
          <w:szCs w:val="28"/>
        </w:rPr>
        <w:t>為例</w:t>
      </w:r>
    </w:p>
    <w:p w:rsidR="003414BF" w:rsidRDefault="003414BF" w:rsidP="00825E9E">
      <w:pPr>
        <w:adjustRightInd w:val="0"/>
        <w:snapToGrid w:val="0"/>
        <w:spacing w:afterLines="50"/>
        <w:jc w:val="center"/>
        <w:rPr>
          <w:rFonts w:ascii="標楷體" w:eastAsia="標楷體" w:hAnsi="標楷體"/>
          <w:sz w:val="28"/>
          <w:szCs w:val="28"/>
        </w:rPr>
      </w:pPr>
    </w:p>
    <w:p w:rsidR="004B6352" w:rsidRPr="004B6352" w:rsidRDefault="00825E9E" w:rsidP="00825E9E">
      <w:pPr>
        <w:adjustRightInd w:val="0"/>
        <w:snapToGrid w:val="0"/>
        <w:spacing w:afterLines="50"/>
        <w:jc w:val="righ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評核委員 </w:t>
      </w:r>
      <w:r w:rsidR="004B6352">
        <w:rPr>
          <w:rFonts w:ascii="標楷體" w:eastAsia="標楷體" w:hAnsi="標楷體" w:hint="eastAsia"/>
          <w:sz w:val="28"/>
          <w:szCs w:val="28"/>
        </w:rPr>
        <w:t>王湧泉</w:t>
      </w:r>
    </w:p>
    <w:p w:rsidR="003414BF" w:rsidRDefault="003414BF" w:rsidP="00825E9E">
      <w:pPr>
        <w:snapToGrid w:val="0"/>
        <w:spacing w:beforeLines="50"/>
        <w:jc w:val="both"/>
        <w:rPr>
          <w:rFonts w:eastAsia="標楷體"/>
          <w:b/>
          <w:sz w:val="28"/>
          <w:szCs w:val="28"/>
        </w:rPr>
      </w:pPr>
    </w:p>
    <w:p w:rsidR="004B6352" w:rsidRPr="003414BF" w:rsidRDefault="003414BF" w:rsidP="00825E9E">
      <w:pPr>
        <w:snapToGrid w:val="0"/>
        <w:spacing w:beforeLines="50"/>
        <w:jc w:val="both"/>
        <w:rPr>
          <w:rFonts w:eastAsia="標楷體"/>
          <w:b/>
          <w:sz w:val="28"/>
          <w:szCs w:val="28"/>
        </w:rPr>
      </w:pPr>
      <w:r w:rsidRPr="003414BF">
        <w:rPr>
          <w:rFonts w:eastAsia="標楷體" w:hint="eastAsia"/>
          <w:b/>
          <w:sz w:val="28"/>
          <w:szCs w:val="28"/>
        </w:rPr>
        <w:t>一、</w:t>
      </w:r>
      <w:r w:rsidR="004B6352" w:rsidRPr="003414BF">
        <w:rPr>
          <w:rFonts w:eastAsia="標楷體"/>
          <w:b/>
          <w:sz w:val="28"/>
          <w:szCs w:val="28"/>
        </w:rPr>
        <w:t>職業訓練成效評估模式</w:t>
      </w:r>
    </w:p>
    <w:p w:rsidR="004B6352" w:rsidRPr="00642BE9" w:rsidRDefault="004B6352" w:rsidP="00825E9E">
      <w:pPr>
        <w:spacing w:beforeLines="50"/>
        <w:rPr>
          <w:rFonts w:eastAsia="標楷體"/>
        </w:rPr>
      </w:pPr>
      <w:r w:rsidRPr="00642BE9">
        <w:rPr>
          <w:rFonts w:eastAsia="標楷體"/>
        </w:rPr>
        <w:tab/>
      </w:r>
      <w:r w:rsidRPr="00642BE9">
        <w:rPr>
          <w:rFonts w:eastAsia="標楷體"/>
        </w:rPr>
        <w:t>基本上，訓練成效評估是用系統化的方式蒐集與訓練活動有相關訊息，以作為選擇、</w:t>
      </w:r>
      <w:proofErr w:type="gramStart"/>
      <w:r w:rsidRPr="00642BE9">
        <w:rPr>
          <w:rFonts w:eastAsia="標楷體"/>
        </w:rPr>
        <w:t>採</w:t>
      </w:r>
      <w:proofErr w:type="gramEnd"/>
      <w:r w:rsidRPr="00642BE9">
        <w:rPr>
          <w:rFonts w:eastAsia="標楷體"/>
        </w:rPr>
        <w:t>行、評判及修正訓練活動等決定之依據（</w:t>
      </w:r>
      <w:r w:rsidRPr="00642BE9">
        <w:rPr>
          <w:rFonts w:eastAsia="標楷體"/>
        </w:rPr>
        <w:t>Goldstein</w:t>
      </w:r>
      <w:r w:rsidRPr="00642BE9">
        <w:rPr>
          <w:rFonts w:eastAsia="標楷體"/>
        </w:rPr>
        <w:t>，</w:t>
      </w:r>
      <w:r w:rsidRPr="00642BE9">
        <w:rPr>
          <w:rFonts w:eastAsia="標楷體"/>
        </w:rPr>
        <w:t>1993</w:t>
      </w:r>
      <w:r w:rsidRPr="00642BE9">
        <w:rPr>
          <w:rFonts w:eastAsia="標楷體"/>
        </w:rPr>
        <w:t>）。</w:t>
      </w:r>
      <w:proofErr w:type="spellStart"/>
      <w:r w:rsidRPr="00642BE9">
        <w:rPr>
          <w:rFonts w:eastAsia="標楷體"/>
        </w:rPr>
        <w:t>Jedrziewski</w:t>
      </w:r>
      <w:proofErr w:type="spellEnd"/>
      <w:r w:rsidRPr="00642BE9">
        <w:rPr>
          <w:rFonts w:eastAsia="標楷體"/>
        </w:rPr>
        <w:t>（</w:t>
      </w:r>
      <w:r w:rsidRPr="00642BE9">
        <w:rPr>
          <w:rFonts w:eastAsia="標楷體"/>
        </w:rPr>
        <w:t>1995</w:t>
      </w:r>
      <w:r w:rsidRPr="00642BE9">
        <w:rPr>
          <w:rFonts w:eastAsia="標楷體"/>
        </w:rPr>
        <w:t>）則更進一步闡述訓練成效評估係指：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評估訓練的成效以決定是否達到訓練計畫目的。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訓練計畫執行的過程及最後的</w:t>
      </w:r>
      <w:proofErr w:type="gramStart"/>
      <w:r w:rsidRPr="00642BE9">
        <w:rPr>
          <w:rFonts w:eastAsia="標楷體"/>
        </w:rPr>
        <w:t>成效均是評估</w:t>
      </w:r>
      <w:proofErr w:type="gramEnd"/>
      <w:r w:rsidRPr="00642BE9">
        <w:rPr>
          <w:rFonts w:eastAsia="標楷體"/>
        </w:rPr>
        <w:t>焦點。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判斷訓練計畫是否達成既定目標。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評估訓練計畫優缺點。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評估在受訓的過程中，何人受益最多、何人受益最少。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評估訓練計畫是否</w:t>
      </w:r>
      <w:proofErr w:type="gramStart"/>
      <w:r w:rsidRPr="00642BE9">
        <w:rPr>
          <w:rFonts w:eastAsia="標楷體"/>
        </w:rPr>
        <w:t>提昇參訓個人</w:t>
      </w:r>
      <w:proofErr w:type="gramEnd"/>
      <w:r w:rsidRPr="00642BE9">
        <w:rPr>
          <w:rFonts w:eastAsia="標楷體"/>
        </w:rPr>
        <w:t>的工作績效及增進組織的整體績效。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評估訓練計畫是否適合達到既定的目的或目標。</w:t>
      </w:r>
    </w:p>
    <w:p w:rsidR="004B6352" w:rsidRPr="00642BE9" w:rsidRDefault="004B6352" w:rsidP="00825E9E">
      <w:pPr>
        <w:numPr>
          <w:ilvl w:val="1"/>
          <w:numId w:val="3"/>
        </w:numPr>
        <w:tabs>
          <w:tab w:val="clear" w:pos="960"/>
          <w:tab w:val="num" w:pos="672"/>
        </w:tabs>
        <w:spacing w:beforeLines="50"/>
        <w:ind w:left="686" w:hanging="206"/>
        <w:rPr>
          <w:rFonts w:eastAsia="標楷體"/>
        </w:rPr>
      </w:pPr>
      <w:r w:rsidRPr="00642BE9">
        <w:rPr>
          <w:rFonts w:eastAsia="標楷體"/>
        </w:rPr>
        <w:t>判斷訓練計畫是否具有價值。</w:t>
      </w:r>
    </w:p>
    <w:p w:rsidR="004B6352" w:rsidRPr="00642BE9" w:rsidRDefault="004B6352" w:rsidP="00825E9E">
      <w:pPr>
        <w:spacing w:beforeLines="50"/>
        <w:rPr>
          <w:rFonts w:eastAsia="標楷體"/>
        </w:rPr>
      </w:pPr>
      <w:r w:rsidRPr="00642BE9">
        <w:rPr>
          <w:rFonts w:eastAsia="標楷體"/>
        </w:rPr>
        <w:tab/>
      </w:r>
      <w:r w:rsidRPr="00642BE9">
        <w:rPr>
          <w:rFonts w:eastAsia="標楷體"/>
        </w:rPr>
        <w:t>如依訓練活動不同階段的角度來進行評估，通常可以區分為訓練中評估及訓練後評估，前者又稱為過程評估或形成性評估，例如「訓練課程是否回應需求」、「訓練時數及時間是否恰當」、「</w:t>
      </w:r>
      <w:proofErr w:type="gramStart"/>
      <w:r w:rsidRPr="00642BE9">
        <w:rPr>
          <w:rFonts w:eastAsia="標楷體"/>
        </w:rPr>
        <w:t>參訓學員</w:t>
      </w:r>
      <w:proofErr w:type="gramEnd"/>
      <w:r w:rsidRPr="00642BE9">
        <w:rPr>
          <w:rFonts w:eastAsia="標楷體"/>
        </w:rPr>
        <w:t>的反應如何」、「受訓者是否獲得部分特定知識」等；而後者又稱為總結性評估，例如「受訓者是否獲得全部的知識」、「多少知識可用於工作之中」、「</w:t>
      </w:r>
      <w:proofErr w:type="gramStart"/>
      <w:r w:rsidRPr="00642BE9">
        <w:rPr>
          <w:rFonts w:eastAsia="標楷體"/>
        </w:rPr>
        <w:t>參訓學員</w:t>
      </w:r>
      <w:proofErr w:type="gramEnd"/>
      <w:r w:rsidRPr="00642BE9">
        <w:rPr>
          <w:rFonts w:eastAsia="標楷體"/>
        </w:rPr>
        <w:t>的行為改變是否符合訓練目標」、「訓練成果之成本效益」等（王瑞宏，</w:t>
      </w:r>
      <w:r w:rsidRPr="00642BE9">
        <w:rPr>
          <w:rFonts w:eastAsia="標楷體"/>
        </w:rPr>
        <w:t>2003</w:t>
      </w:r>
      <w:r w:rsidRPr="00642BE9">
        <w:rPr>
          <w:rFonts w:eastAsia="標楷體"/>
        </w:rPr>
        <w:t>）。</w:t>
      </w:r>
    </w:p>
    <w:p w:rsidR="004B6352" w:rsidRDefault="004B6352" w:rsidP="00825E9E">
      <w:pPr>
        <w:spacing w:beforeLines="50"/>
        <w:ind w:firstLine="482"/>
        <w:rPr>
          <w:rFonts w:eastAsia="標楷體"/>
        </w:rPr>
      </w:pPr>
      <w:proofErr w:type="spellStart"/>
      <w:r w:rsidRPr="00642BE9">
        <w:rPr>
          <w:rFonts w:eastAsia="標楷體"/>
        </w:rPr>
        <w:t>Noe</w:t>
      </w:r>
      <w:proofErr w:type="spellEnd"/>
      <w:r w:rsidRPr="00642BE9">
        <w:rPr>
          <w:rFonts w:eastAsia="標楷體"/>
        </w:rPr>
        <w:t>（</w:t>
      </w:r>
      <w:r w:rsidRPr="00642BE9">
        <w:rPr>
          <w:rFonts w:eastAsia="標楷體"/>
        </w:rPr>
        <w:t>2002</w:t>
      </w:r>
      <w:r w:rsidRPr="00642BE9">
        <w:rPr>
          <w:rFonts w:eastAsia="標楷體"/>
        </w:rPr>
        <w:t>）認為訓練評估的意義在於蒐集各種訓練成果，以評估員工訓練是否有效的過程。訓練本身是解決組織和個人的職能差距，因此常會隨不同的目的使用不同的評估工具，同時訓練的成效更應該多樣性的評估；訓練評估一般可分為形成性評鑑和總結性評鑑，而常見的訓練評估方式如下表</w:t>
      </w:r>
      <w:r w:rsidR="003414BF">
        <w:rPr>
          <w:rFonts w:eastAsia="標楷體" w:hint="eastAsia"/>
        </w:rPr>
        <w:t>1</w:t>
      </w:r>
      <w:r>
        <w:rPr>
          <w:rFonts w:eastAsia="標楷體" w:hint="eastAsia"/>
        </w:rPr>
        <w:t>。</w:t>
      </w:r>
    </w:p>
    <w:p w:rsidR="003414BF" w:rsidRDefault="003414BF" w:rsidP="00825E9E">
      <w:pPr>
        <w:spacing w:beforeLines="50"/>
        <w:ind w:firstLine="482"/>
        <w:rPr>
          <w:rFonts w:eastAsia="標楷體"/>
        </w:rPr>
      </w:pPr>
    </w:p>
    <w:p w:rsidR="003414BF" w:rsidRDefault="003414BF" w:rsidP="00825E9E">
      <w:pPr>
        <w:spacing w:beforeLines="50"/>
        <w:ind w:firstLine="482"/>
        <w:rPr>
          <w:rFonts w:eastAsia="標楷體"/>
        </w:rPr>
      </w:pPr>
    </w:p>
    <w:p w:rsidR="004B6352" w:rsidRPr="00642BE9" w:rsidRDefault="004B6352" w:rsidP="009E19C9">
      <w:pPr>
        <w:pStyle w:val="c"/>
        <w:spacing w:before="180"/>
      </w:pPr>
      <w:bookmarkStart w:id="1" w:name="_Toc233362223"/>
      <w:bookmarkStart w:id="2" w:name="_Toc276216416"/>
      <w:r w:rsidRPr="00642BE9">
        <w:t>表</w:t>
      </w:r>
      <w:r w:rsidR="003414BF">
        <w:rPr>
          <w:rFonts w:hint="eastAsia"/>
        </w:rPr>
        <w:t>1</w:t>
      </w:r>
      <w:r w:rsidRPr="00642BE9">
        <w:rPr>
          <w:rFonts w:hint="eastAsia"/>
        </w:rPr>
        <w:t xml:space="preserve">　</w:t>
      </w:r>
      <w:r w:rsidRPr="00642BE9">
        <w:t>常見的訓練評估方式</w:t>
      </w:r>
      <w:bookmarkEnd w:id="1"/>
      <w:bookmarkEnd w:id="2"/>
    </w:p>
    <w:tbl>
      <w:tblPr>
        <w:tblW w:w="0" w:type="auto"/>
        <w:tblLook w:val="01E0"/>
      </w:tblPr>
      <w:tblGrid>
        <w:gridCol w:w="2005"/>
        <w:gridCol w:w="26"/>
        <w:gridCol w:w="855"/>
        <w:gridCol w:w="26"/>
        <w:gridCol w:w="2043"/>
        <w:gridCol w:w="48"/>
        <w:gridCol w:w="3519"/>
      </w:tblGrid>
      <w:tr w:rsidR="004B6352" w:rsidRPr="00642BE9" w:rsidTr="003414BF">
        <w:tc>
          <w:tcPr>
            <w:tcW w:w="2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lastRenderedPageBreak/>
              <w:t>作者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年代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訓練成效評估模式</w:t>
            </w:r>
          </w:p>
        </w:tc>
        <w:tc>
          <w:tcPr>
            <w:tcW w:w="351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評估模式</w:t>
            </w:r>
          </w:p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摘要</w:t>
            </w:r>
          </w:p>
        </w:tc>
      </w:tr>
      <w:tr w:rsidR="004B6352" w:rsidRPr="00642BE9" w:rsidTr="003414BF">
        <w:tc>
          <w:tcPr>
            <w:tcW w:w="2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r w:rsidRPr="00642BE9">
              <w:rPr>
                <w:rFonts w:eastAsia="標楷體"/>
              </w:rPr>
              <w:t>Kirkpatrick</w:t>
            </w: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1959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Kirkpatrick</w:t>
            </w:r>
            <w:r w:rsidRPr="00642BE9">
              <w:rPr>
                <w:rFonts w:eastAsia="標楷體"/>
              </w:rPr>
              <w:t>四階層評估模式</w:t>
            </w:r>
          </w:p>
        </w:tc>
        <w:tc>
          <w:tcPr>
            <w:tcW w:w="3519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反應、學習、行為、成果</w:t>
            </w:r>
          </w:p>
        </w:tc>
      </w:tr>
      <w:tr w:rsidR="004B6352" w:rsidRPr="00642BE9" w:rsidTr="003414BF"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proofErr w:type="spellStart"/>
            <w:r w:rsidRPr="00642BE9">
              <w:rPr>
                <w:rFonts w:eastAsia="標楷體"/>
              </w:rPr>
              <w:t>Stufflebeam</w:t>
            </w:r>
            <w:proofErr w:type="spellEnd"/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1974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CIPP</w:t>
            </w:r>
            <w:r w:rsidRPr="00642BE9">
              <w:rPr>
                <w:rFonts w:eastAsia="標楷體"/>
              </w:rPr>
              <w:t>評估模式</w:t>
            </w:r>
          </w:p>
        </w:tc>
        <w:tc>
          <w:tcPr>
            <w:tcW w:w="3519" w:type="dxa"/>
            <w:tcBorders>
              <w:top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背景、輸入、過程、成果</w:t>
            </w:r>
          </w:p>
        </w:tc>
      </w:tr>
      <w:tr w:rsidR="004B6352" w:rsidRPr="00642BE9" w:rsidTr="003414BF"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r w:rsidRPr="00642BE9">
              <w:rPr>
                <w:rFonts w:eastAsia="標楷體"/>
              </w:rPr>
              <w:t>Brinkerhoff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1987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Brinkerhoff</w:t>
            </w:r>
            <w:r w:rsidRPr="00642BE9">
              <w:rPr>
                <w:rFonts w:eastAsia="標楷體"/>
              </w:rPr>
              <w:t>六階段評估模式</w:t>
            </w:r>
          </w:p>
        </w:tc>
        <w:tc>
          <w:tcPr>
            <w:tcW w:w="3519" w:type="dxa"/>
            <w:tcBorders>
              <w:top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目標設定、方案設計、方案實施、立即結果、運作結果、影響與價值</w:t>
            </w:r>
          </w:p>
        </w:tc>
      </w:tr>
      <w:tr w:rsidR="004B6352" w:rsidRPr="00642BE9" w:rsidTr="003414BF"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r w:rsidRPr="00642BE9">
              <w:rPr>
                <w:rFonts w:eastAsia="標楷體"/>
              </w:rPr>
              <w:t>Bushnell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1990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IPO</w:t>
            </w:r>
            <w:r w:rsidRPr="00642BE9">
              <w:rPr>
                <w:rFonts w:eastAsia="標楷體"/>
              </w:rPr>
              <w:t>評估模式</w:t>
            </w:r>
          </w:p>
        </w:tc>
        <w:tc>
          <w:tcPr>
            <w:tcW w:w="3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投入、過程、產出</w:t>
            </w:r>
          </w:p>
        </w:tc>
      </w:tr>
      <w:tr w:rsidR="004B6352" w:rsidRPr="00642BE9" w:rsidTr="003414BF"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proofErr w:type="spellStart"/>
            <w:r w:rsidRPr="00642BE9">
              <w:rPr>
                <w:rFonts w:eastAsia="標楷體"/>
              </w:rPr>
              <w:t>Kraiger</w:t>
            </w:r>
            <w:proofErr w:type="spellEnd"/>
            <w:r w:rsidRPr="00642BE9">
              <w:rPr>
                <w:rFonts w:eastAsia="標楷體"/>
              </w:rPr>
              <w:t>, Ford,</w:t>
            </w:r>
            <w:proofErr w:type="gramStart"/>
            <w:r w:rsidRPr="00642BE9">
              <w:rPr>
                <w:rFonts w:eastAsia="標楷體"/>
              </w:rPr>
              <w:t>＆</w:t>
            </w:r>
            <w:proofErr w:type="gramEnd"/>
            <w:r w:rsidRPr="00642BE9">
              <w:rPr>
                <w:rFonts w:eastAsia="標楷體"/>
              </w:rPr>
              <w:t>Salas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1993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學習成果評估模式</w:t>
            </w:r>
          </w:p>
        </w:tc>
        <w:tc>
          <w:tcPr>
            <w:tcW w:w="3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認知成果、技能本位成果、情感成果</w:t>
            </w:r>
          </w:p>
        </w:tc>
      </w:tr>
      <w:tr w:rsidR="004B6352" w:rsidRPr="00642BE9" w:rsidTr="003414BF"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r w:rsidRPr="00642BE9">
              <w:rPr>
                <w:rFonts w:eastAsia="標楷體"/>
              </w:rPr>
              <w:t>Kaufman</w:t>
            </w:r>
            <w:proofErr w:type="gramStart"/>
            <w:r w:rsidRPr="00642BE9">
              <w:rPr>
                <w:rFonts w:eastAsia="標楷體"/>
              </w:rPr>
              <w:t>＆</w:t>
            </w:r>
            <w:proofErr w:type="gramEnd"/>
            <w:r w:rsidRPr="00642BE9">
              <w:rPr>
                <w:rFonts w:eastAsia="標楷體"/>
              </w:rPr>
              <w:t>Keller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1994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Kaufman</w:t>
            </w:r>
            <w:r w:rsidRPr="00642BE9">
              <w:rPr>
                <w:rFonts w:eastAsia="標楷體"/>
              </w:rPr>
              <w:t>五階層評估模式</w:t>
            </w:r>
          </w:p>
        </w:tc>
        <w:tc>
          <w:tcPr>
            <w:tcW w:w="3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可能性與反應、獲取、應用、組織面成果、社會面成果</w:t>
            </w:r>
          </w:p>
        </w:tc>
      </w:tr>
      <w:tr w:rsidR="004B6352" w:rsidRPr="00642BE9" w:rsidTr="003414BF"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r w:rsidRPr="00642BE9">
              <w:rPr>
                <w:rFonts w:eastAsia="標楷體"/>
              </w:rPr>
              <w:t>Phillips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1997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ROI</w:t>
            </w:r>
            <w:r w:rsidRPr="00642BE9">
              <w:rPr>
                <w:rFonts w:eastAsia="標楷體"/>
              </w:rPr>
              <w:t>評估模式</w:t>
            </w:r>
          </w:p>
        </w:tc>
        <w:tc>
          <w:tcPr>
            <w:tcW w:w="3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於</w:t>
            </w:r>
            <w:r w:rsidRPr="00642BE9">
              <w:rPr>
                <w:rFonts w:eastAsia="標楷體"/>
              </w:rPr>
              <w:t>Kirkpatrick</w:t>
            </w:r>
            <w:r w:rsidRPr="00642BE9">
              <w:rPr>
                <w:rFonts w:eastAsia="標楷體"/>
              </w:rPr>
              <w:t>四階層評估模式中延伸出投資報酬率（</w:t>
            </w:r>
            <w:r w:rsidRPr="00642BE9">
              <w:rPr>
                <w:rFonts w:eastAsia="標楷體"/>
              </w:rPr>
              <w:t>ROI</w:t>
            </w:r>
            <w:r w:rsidRPr="00642BE9">
              <w:rPr>
                <w:rFonts w:eastAsia="標楷體"/>
              </w:rPr>
              <w:t>）概念為第五階層</w:t>
            </w:r>
          </w:p>
        </w:tc>
      </w:tr>
      <w:tr w:rsidR="004B6352" w:rsidRPr="00642BE9" w:rsidTr="003414BF">
        <w:tc>
          <w:tcPr>
            <w:tcW w:w="20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6352" w:rsidRPr="00642BE9" w:rsidRDefault="004B6352" w:rsidP="00EF45E7">
            <w:pPr>
              <w:rPr>
                <w:rFonts w:eastAsia="標楷體"/>
              </w:rPr>
            </w:pPr>
            <w:r w:rsidRPr="00642BE9">
              <w:rPr>
                <w:rFonts w:eastAsia="標楷體"/>
              </w:rPr>
              <w:t xml:space="preserve">Becker, </w:t>
            </w:r>
            <w:proofErr w:type="spellStart"/>
            <w:r w:rsidRPr="00642BE9">
              <w:rPr>
                <w:rFonts w:eastAsia="標楷體"/>
              </w:rPr>
              <w:t>Huselid</w:t>
            </w:r>
            <w:proofErr w:type="spellEnd"/>
            <w:r w:rsidRPr="00642BE9">
              <w:rPr>
                <w:rFonts w:eastAsia="標楷體"/>
              </w:rPr>
              <w:t>,  &amp; Ulrich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6352" w:rsidRPr="00642BE9" w:rsidRDefault="004B6352" w:rsidP="00EF45E7">
            <w:pPr>
              <w:jc w:val="center"/>
              <w:rPr>
                <w:rFonts w:eastAsia="標楷體"/>
              </w:rPr>
            </w:pPr>
            <w:r w:rsidRPr="00642BE9">
              <w:rPr>
                <w:rFonts w:eastAsia="標楷體"/>
              </w:rPr>
              <w:t>2001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人力資源計分卡</w:t>
            </w:r>
          </w:p>
        </w:tc>
        <w:tc>
          <w:tcPr>
            <w:tcW w:w="356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從組織面評鑑績效，試圖驗證人力資本是價值創造的基礎</w:t>
            </w:r>
          </w:p>
        </w:tc>
      </w:tr>
      <w:tr w:rsidR="004B6352" w:rsidRPr="00642BE9" w:rsidTr="003414BF">
        <w:tc>
          <w:tcPr>
            <w:tcW w:w="852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B6352" w:rsidRPr="00642BE9" w:rsidRDefault="004B6352" w:rsidP="00EF45E7">
            <w:pPr>
              <w:jc w:val="both"/>
              <w:rPr>
                <w:rFonts w:eastAsia="標楷體"/>
              </w:rPr>
            </w:pPr>
            <w:r w:rsidRPr="00642BE9">
              <w:rPr>
                <w:rFonts w:eastAsia="標楷體"/>
              </w:rPr>
              <w:t>資料來源：謝慧賢（</w:t>
            </w:r>
            <w:r w:rsidRPr="00642BE9">
              <w:rPr>
                <w:rFonts w:eastAsia="標楷體"/>
              </w:rPr>
              <w:t>2007</w:t>
            </w:r>
            <w:r w:rsidRPr="00642BE9">
              <w:rPr>
                <w:rFonts w:eastAsia="標楷體"/>
              </w:rPr>
              <w:t>）；劉彥慧（</w:t>
            </w:r>
            <w:r w:rsidRPr="00642BE9">
              <w:rPr>
                <w:rFonts w:eastAsia="標楷體"/>
              </w:rPr>
              <w:t>2009</w:t>
            </w:r>
            <w:r w:rsidRPr="00642BE9">
              <w:rPr>
                <w:rFonts w:eastAsia="標楷體"/>
              </w:rPr>
              <w:t>）</w:t>
            </w:r>
          </w:p>
        </w:tc>
      </w:tr>
    </w:tbl>
    <w:p w:rsidR="004B6352" w:rsidRPr="00642BE9" w:rsidRDefault="004B6352" w:rsidP="00825E9E">
      <w:pPr>
        <w:spacing w:beforeLines="50"/>
        <w:ind w:firstLine="482"/>
        <w:jc w:val="both"/>
        <w:rPr>
          <w:rFonts w:eastAsia="標楷體"/>
          <w:sz w:val="20"/>
          <w:szCs w:val="20"/>
        </w:rPr>
      </w:pPr>
      <w:r w:rsidRPr="00642BE9">
        <w:rPr>
          <w:rFonts w:eastAsia="標楷體"/>
        </w:rPr>
        <w:t>Kirkpatrick</w:t>
      </w:r>
      <w:r w:rsidRPr="00642BE9">
        <w:rPr>
          <w:rFonts w:eastAsia="標楷體"/>
        </w:rPr>
        <w:t>的四階層評估模式自提出以來，因其概念簡單明瞭一直被視為訓練成效評估的主要基礎，此四階層相對應的方法及技術也不斷地推陳出新（</w:t>
      </w:r>
      <w:proofErr w:type="spellStart"/>
      <w:r w:rsidRPr="00642BE9">
        <w:rPr>
          <w:rFonts w:eastAsia="標楷體"/>
        </w:rPr>
        <w:t>Nickols</w:t>
      </w:r>
      <w:proofErr w:type="spellEnd"/>
      <w:r w:rsidRPr="00642BE9">
        <w:rPr>
          <w:rFonts w:eastAsia="標楷體"/>
        </w:rPr>
        <w:t>, 2005</w:t>
      </w:r>
      <w:r w:rsidRPr="00642BE9">
        <w:rPr>
          <w:rFonts w:eastAsia="標楷體"/>
        </w:rPr>
        <w:t>），其在訓練評估的領域中有其不可動搖之地位，尤其許多後續訓練成效評估模式的發展大都係奠基在</w:t>
      </w:r>
      <w:r w:rsidRPr="00642BE9">
        <w:rPr>
          <w:rFonts w:eastAsia="標楷體"/>
        </w:rPr>
        <w:t>Kirkpatrick</w:t>
      </w:r>
      <w:r w:rsidRPr="00642BE9">
        <w:rPr>
          <w:rFonts w:eastAsia="標楷體"/>
        </w:rPr>
        <w:t>四階層評估模式的基礎上，且其所提出之架構亦最為廣大的實務工作者所接受。</w:t>
      </w:r>
    </w:p>
    <w:p w:rsidR="004B6352" w:rsidRPr="003414BF" w:rsidRDefault="003414BF" w:rsidP="00825E9E">
      <w:pPr>
        <w:snapToGrid w:val="0"/>
        <w:spacing w:beforeLines="50"/>
        <w:jc w:val="both"/>
        <w:rPr>
          <w:rFonts w:eastAsia="標楷體"/>
          <w:b/>
          <w:sz w:val="28"/>
          <w:szCs w:val="28"/>
        </w:rPr>
      </w:pPr>
      <w:r w:rsidRPr="003414BF">
        <w:rPr>
          <w:rFonts w:eastAsia="標楷體" w:hint="eastAsia"/>
          <w:b/>
          <w:sz w:val="28"/>
          <w:szCs w:val="28"/>
        </w:rPr>
        <w:t>二、</w:t>
      </w:r>
      <w:r w:rsidR="004B6352" w:rsidRPr="003414BF">
        <w:rPr>
          <w:rFonts w:eastAsia="標楷體"/>
          <w:b/>
          <w:sz w:val="28"/>
          <w:szCs w:val="28"/>
        </w:rPr>
        <w:t>職業訓練成效評估指標</w:t>
      </w:r>
    </w:p>
    <w:p w:rsidR="004B6352" w:rsidRPr="00642BE9" w:rsidRDefault="004B6352" w:rsidP="00825E9E">
      <w:pPr>
        <w:spacing w:beforeLines="50"/>
        <w:ind w:firstLineChars="200" w:firstLine="480"/>
        <w:rPr>
          <w:rFonts w:eastAsia="標楷體"/>
        </w:rPr>
      </w:pPr>
      <w:r w:rsidRPr="00642BE9">
        <w:rPr>
          <w:rFonts w:eastAsia="標楷體"/>
        </w:rPr>
        <w:t>「就業率」指標之所以被世界各國政府機構普遍使用，主要</w:t>
      </w:r>
      <w:proofErr w:type="gramStart"/>
      <w:r w:rsidRPr="00642BE9">
        <w:rPr>
          <w:rFonts w:eastAsia="標楷體"/>
        </w:rPr>
        <w:t>因為使依指標</w:t>
      </w:r>
      <w:proofErr w:type="gramEnd"/>
      <w:r w:rsidRPr="00642BE9">
        <w:rPr>
          <w:rFonts w:eastAsia="標楷體"/>
        </w:rPr>
        <w:t>簡單明瞭，資料</w:t>
      </w:r>
      <w:r w:rsidRPr="00642BE9">
        <w:rPr>
          <w:rFonts w:eastAsia="標楷體" w:hint="eastAsia"/>
        </w:rPr>
        <w:t>易</w:t>
      </w:r>
      <w:r w:rsidRPr="00642BE9">
        <w:rPr>
          <w:rFonts w:eastAsia="標楷體"/>
        </w:rPr>
        <w:t>於蒐集與解釋（李誠、辛炳隆，</w:t>
      </w:r>
      <w:r w:rsidRPr="00642BE9">
        <w:rPr>
          <w:rFonts w:eastAsia="標楷體"/>
        </w:rPr>
        <w:t>2005</w:t>
      </w:r>
      <w:r w:rsidRPr="00642BE9">
        <w:rPr>
          <w:rFonts w:eastAsia="標楷體"/>
        </w:rPr>
        <w:t>），目前職訓局除了在招標評選時要求承訓單位明定預期達成之就業率，如未達成將影響隔年評鑑及招標評選的成績，並透過成功就業獎勵制度及分級編列就業輔導費等方式，鼓勵承訓單位積極成預定之就業率。</w:t>
      </w:r>
    </w:p>
    <w:p w:rsidR="004B6352" w:rsidRPr="00642BE9" w:rsidRDefault="004B6352" w:rsidP="00825E9E">
      <w:pPr>
        <w:spacing w:beforeLines="50"/>
        <w:ind w:firstLineChars="200" w:firstLine="480"/>
        <w:rPr>
          <w:rFonts w:eastAsia="標楷體"/>
        </w:rPr>
      </w:pPr>
      <w:r w:rsidRPr="00642BE9">
        <w:rPr>
          <w:rFonts w:eastAsia="標楷體"/>
        </w:rPr>
        <w:t>但也有許多國家採用多元指標，試圖更加周延地評估失業者職業訓練成效。這些指標包括：就業率、相關人士的滿意度、工作能力的取得、基本技術的取得、終身學習能力的取得、出席率和完成率、受訓機會均等率、成本效益、社會效益等九類，其主要目的是在衡量職訓課程的產出或學習成效，如下所示（李德純，</w:t>
      </w:r>
      <w:r w:rsidRPr="00642BE9">
        <w:rPr>
          <w:rFonts w:eastAsia="標楷體"/>
        </w:rPr>
        <w:t>2010</w:t>
      </w:r>
      <w:r w:rsidRPr="00642BE9">
        <w:rPr>
          <w:rFonts w:eastAsia="標楷體"/>
        </w:rPr>
        <w:t>）：</w:t>
      </w:r>
    </w:p>
    <w:p w:rsidR="004B6352" w:rsidRPr="00642BE9" w:rsidRDefault="004B6352" w:rsidP="00825E9E">
      <w:pPr>
        <w:spacing w:beforeLines="50"/>
        <w:ind w:firstLineChars="200" w:firstLine="480"/>
        <w:rPr>
          <w:rFonts w:eastAsia="標楷體"/>
        </w:rPr>
      </w:pPr>
      <w:r w:rsidRPr="00642BE9">
        <w:rPr>
          <w:rFonts w:eastAsia="標楷體"/>
        </w:rPr>
        <w:t>就業指標：包括就業安置率，就業穩定率、新工作的薪資等。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lastRenderedPageBreak/>
        <w:t>相關人士滿意度：包括雇主、學員、社區與政府對此課程的滿意度。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工作能力的取得：學員在訓練課程中有無學習得應有的生產知識與技術。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基本技術的取得：學員有無從課程中取得繼續學習其他技術的能力。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終身學習能力的取得：職訓課程有無引起學員從事終身學習的意願與能力。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出席率、完成率：學員在受訓期間的出席率，與完成此訓練課程的比率。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受訓機會均等率：不同性別、年齡、種族參與此職訓班的公平機會。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成本效益：課程的成本效益與學員、政府、雇主三者對職訓成本分攤的比率。</w:t>
      </w:r>
    </w:p>
    <w:p w:rsidR="004B6352" w:rsidRPr="00642BE9" w:rsidRDefault="004B6352" w:rsidP="00825E9E">
      <w:pPr>
        <w:numPr>
          <w:ilvl w:val="0"/>
          <w:numId w:val="4"/>
        </w:numPr>
        <w:tabs>
          <w:tab w:val="clear" w:pos="960"/>
          <w:tab w:val="num" w:pos="720"/>
        </w:tabs>
        <w:spacing w:beforeLines="50"/>
        <w:ind w:left="714" w:hanging="234"/>
        <w:rPr>
          <w:rFonts w:eastAsia="標楷體"/>
        </w:rPr>
      </w:pPr>
      <w:r w:rsidRPr="00642BE9">
        <w:rPr>
          <w:rFonts w:eastAsia="標楷體"/>
        </w:rPr>
        <w:t>社會效益：犯罪率下降，增加學習意願與自信心、失業期間所得維持等。</w:t>
      </w:r>
    </w:p>
    <w:p w:rsidR="004B6352" w:rsidRPr="00642BE9" w:rsidRDefault="004B6352" w:rsidP="00825E9E">
      <w:pPr>
        <w:spacing w:beforeLines="50"/>
        <w:ind w:firstLineChars="200" w:firstLine="480"/>
        <w:rPr>
          <w:rFonts w:eastAsia="標楷體"/>
        </w:rPr>
      </w:pPr>
      <w:r w:rsidRPr="00642BE9">
        <w:rPr>
          <w:rFonts w:eastAsia="標楷體"/>
        </w:rPr>
        <w:t>勞委會職訓局於「</w:t>
      </w:r>
      <w:r w:rsidRPr="00642BE9">
        <w:rPr>
          <w:rFonts w:eastAsia="標楷體"/>
        </w:rPr>
        <w:t>97</w:t>
      </w:r>
      <w:r w:rsidRPr="00642BE9">
        <w:rPr>
          <w:rFonts w:eastAsia="標楷體"/>
        </w:rPr>
        <w:t>年度職業訓練單位評鑑計畫」所列出的成效評估指標包含三個部分：（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）</w:t>
      </w:r>
      <w:r w:rsidRPr="00642BE9">
        <w:rPr>
          <w:rFonts w:eastAsia="標楷體"/>
        </w:rPr>
        <w:t xml:space="preserve"> </w:t>
      </w:r>
      <w:r w:rsidRPr="00642BE9">
        <w:rPr>
          <w:rFonts w:eastAsia="標楷體"/>
        </w:rPr>
        <w:t>單位能力指標，含師資面、課程設計、教材與設備、行政服務、行政配合等項目；（</w:t>
      </w:r>
      <w:r w:rsidRPr="00642BE9">
        <w:rPr>
          <w:rFonts w:eastAsia="標楷體"/>
        </w:rPr>
        <w:t>2</w:t>
      </w:r>
      <w:r w:rsidRPr="00642BE9">
        <w:rPr>
          <w:rFonts w:eastAsia="標楷體"/>
        </w:rPr>
        <w:t>）就業表現指標，結訓學員三個月內的就業率；（</w:t>
      </w:r>
      <w:r w:rsidRPr="00642BE9">
        <w:rPr>
          <w:rFonts w:eastAsia="標楷體"/>
        </w:rPr>
        <w:t>3</w:t>
      </w:r>
      <w:r w:rsidRPr="00642BE9">
        <w:rPr>
          <w:rFonts w:eastAsia="標楷體"/>
        </w:rPr>
        <w:t>）結訓學員滿意度問卷調查。其中（</w:t>
      </w:r>
      <w:r w:rsidRPr="00642BE9">
        <w:rPr>
          <w:rFonts w:eastAsia="標楷體"/>
        </w:rPr>
        <w:t>2</w:t>
      </w:r>
      <w:r w:rsidRPr="00642BE9">
        <w:rPr>
          <w:rFonts w:eastAsia="標楷體"/>
        </w:rPr>
        <w:t>）及（</w:t>
      </w:r>
      <w:r w:rsidRPr="00642BE9">
        <w:rPr>
          <w:rFonts w:eastAsia="標楷體"/>
        </w:rPr>
        <w:t>3</w:t>
      </w:r>
      <w:r w:rsidRPr="00642BE9">
        <w:rPr>
          <w:rFonts w:eastAsia="標楷體"/>
        </w:rPr>
        <w:t>）兩個項目著重在職業訓練的訓後成效，顯見台灣的評鑑標準是以就業率及滿意度為主。</w:t>
      </w:r>
    </w:p>
    <w:p w:rsidR="004B6352" w:rsidRPr="00642BE9" w:rsidRDefault="004B6352" w:rsidP="00825E9E">
      <w:pPr>
        <w:spacing w:beforeLines="50"/>
        <w:ind w:firstLineChars="200" w:firstLine="480"/>
        <w:rPr>
          <w:rFonts w:eastAsia="標楷體"/>
        </w:rPr>
      </w:pPr>
      <w:r w:rsidRPr="00642BE9">
        <w:rPr>
          <w:rFonts w:eastAsia="標楷體"/>
        </w:rPr>
        <w:t>然而，李德純（</w:t>
      </w:r>
      <w:r w:rsidRPr="00642BE9">
        <w:rPr>
          <w:rFonts w:eastAsia="標楷體"/>
        </w:rPr>
        <w:t>2010</w:t>
      </w:r>
      <w:r w:rsidRPr="00642BE9">
        <w:rPr>
          <w:rFonts w:eastAsia="標楷體"/>
        </w:rPr>
        <w:t>）指出職業訓練應該要有多元目標，故部分先進國家的職業訓練評估制度已不再採用就業率此單一指標，其主要原因是認為就業只是目標其中之一，過於偏重可能會誤導職業訓練課程發展的方向。其次，職業訓練亦並非決定學員受訓後就業與否的唯一因素，其他相關因素如個人特質、工作經驗、家庭背景等，</w:t>
      </w:r>
      <w:proofErr w:type="gramStart"/>
      <w:r w:rsidRPr="00642BE9">
        <w:rPr>
          <w:rFonts w:eastAsia="標楷體"/>
        </w:rPr>
        <w:t>均會影響</w:t>
      </w:r>
      <w:proofErr w:type="gramEnd"/>
      <w:r w:rsidRPr="00642BE9">
        <w:rPr>
          <w:rFonts w:eastAsia="標楷體"/>
        </w:rPr>
        <w:t>到就業成功與否。因此，評量職業訓練成效時不宜僅僅使用單一指標，最好能夠使用多重指標，如此才能評估職業訓練課程所帶來的各種益處與成果。</w:t>
      </w:r>
    </w:p>
    <w:p w:rsidR="004B6352" w:rsidRPr="00642BE9" w:rsidRDefault="004B6352" w:rsidP="00825E9E">
      <w:pPr>
        <w:spacing w:beforeLines="50"/>
        <w:ind w:firstLineChars="200" w:firstLine="480"/>
        <w:rPr>
          <w:rFonts w:eastAsia="標楷體"/>
        </w:rPr>
      </w:pPr>
      <w:r w:rsidRPr="00642BE9">
        <w:rPr>
          <w:rFonts w:eastAsia="標楷體"/>
        </w:rPr>
        <w:t>基此，本研究在評量外籍配偶（含大陸配偶）職業訓練成效的層面主要以量化和</w:t>
      </w:r>
      <w:proofErr w:type="gramStart"/>
      <w:r w:rsidRPr="00642BE9">
        <w:rPr>
          <w:rFonts w:eastAsia="標楷體"/>
        </w:rPr>
        <w:t>質化</w:t>
      </w:r>
      <w:proofErr w:type="gramEnd"/>
      <w:r w:rsidRPr="00642BE9">
        <w:rPr>
          <w:rFonts w:eastAsia="標楷體"/>
        </w:rPr>
        <w:t>等兩方面同時進行。而在訓練成效指標的評估指標上主要</w:t>
      </w:r>
      <w:proofErr w:type="gramStart"/>
      <w:r w:rsidRPr="00642BE9">
        <w:rPr>
          <w:rFonts w:eastAsia="標楷體"/>
        </w:rPr>
        <w:t>以參訓學員</w:t>
      </w:r>
      <w:proofErr w:type="gramEnd"/>
      <w:r w:rsidRPr="00642BE9">
        <w:rPr>
          <w:rFonts w:eastAsia="標楷體"/>
        </w:rPr>
        <w:t>的滿意度（</w:t>
      </w:r>
      <w:r w:rsidRPr="00642BE9">
        <w:rPr>
          <w:rFonts w:eastAsia="標楷體"/>
        </w:rPr>
        <w:t>Level1</w:t>
      </w:r>
      <w:r w:rsidRPr="00642BE9">
        <w:rPr>
          <w:rFonts w:eastAsia="標楷體"/>
        </w:rPr>
        <w:t>）及學習（</w:t>
      </w:r>
      <w:r w:rsidRPr="00642BE9">
        <w:rPr>
          <w:rFonts w:eastAsia="標楷體"/>
        </w:rPr>
        <w:t>Level2</w:t>
      </w:r>
      <w:r w:rsidRPr="00642BE9">
        <w:rPr>
          <w:rFonts w:eastAsia="標楷體"/>
        </w:rPr>
        <w:t>）為主要評估的內容。在學員滿意度的調查上，主要針對訓練課程之：（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）講師（</w:t>
      </w:r>
      <w:r w:rsidRPr="00642BE9">
        <w:rPr>
          <w:rFonts w:eastAsia="標楷體"/>
        </w:rPr>
        <w:t>2</w:t>
      </w:r>
      <w:r w:rsidRPr="00642BE9">
        <w:rPr>
          <w:rFonts w:eastAsia="標楷體"/>
        </w:rPr>
        <w:t>題）；（</w:t>
      </w:r>
      <w:r w:rsidRPr="00642BE9">
        <w:rPr>
          <w:rFonts w:eastAsia="標楷體"/>
        </w:rPr>
        <w:t>2</w:t>
      </w:r>
      <w:r w:rsidRPr="00642BE9">
        <w:rPr>
          <w:rFonts w:eastAsia="標楷體"/>
        </w:rPr>
        <w:t>）時數（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題）；（</w:t>
      </w:r>
      <w:r w:rsidRPr="00642BE9">
        <w:rPr>
          <w:rFonts w:eastAsia="標楷體"/>
        </w:rPr>
        <w:t>3</w:t>
      </w:r>
      <w:r w:rsidRPr="00642BE9">
        <w:rPr>
          <w:rFonts w:eastAsia="標楷體"/>
        </w:rPr>
        <w:t>）空間（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題）；（</w:t>
      </w:r>
      <w:r w:rsidRPr="00642BE9">
        <w:rPr>
          <w:rFonts w:eastAsia="標楷體"/>
        </w:rPr>
        <w:t>4</w:t>
      </w:r>
      <w:r w:rsidRPr="00642BE9">
        <w:rPr>
          <w:rFonts w:eastAsia="標楷體"/>
        </w:rPr>
        <w:t>）訓練設備（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題）；（</w:t>
      </w:r>
      <w:r w:rsidRPr="00642BE9">
        <w:rPr>
          <w:rFonts w:eastAsia="標楷體"/>
        </w:rPr>
        <w:t>5</w:t>
      </w:r>
      <w:r w:rsidRPr="00642BE9">
        <w:rPr>
          <w:rFonts w:eastAsia="標楷體"/>
        </w:rPr>
        <w:t>）教材（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題）；（</w:t>
      </w:r>
      <w:r w:rsidRPr="00642BE9">
        <w:rPr>
          <w:rFonts w:eastAsia="標楷體"/>
        </w:rPr>
        <w:t>6</w:t>
      </w:r>
      <w:r w:rsidRPr="00642BE9">
        <w:rPr>
          <w:rFonts w:eastAsia="標楷體"/>
        </w:rPr>
        <w:t>）訓練內容安排（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題）；（</w:t>
      </w:r>
      <w:r w:rsidRPr="00642BE9">
        <w:rPr>
          <w:rFonts w:eastAsia="標楷體"/>
        </w:rPr>
        <w:t>7</w:t>
      </w:r>
      <w:r w:rsidRPr="00642BE9">
        <w:rPr>
          <w:rFonts w:eastAsia="標楷體"/>
        </w:rPr>
        <w:t>）效用（</w:t>
      </w:r>
      <w:r w:rsidRPr="00642BE9">
        <w:rPr>
          <w:rFonts w:eastAsia="標楷體"/>
        </w:rPr>
        <w:t>3</w:t>
      </w:r>
      <w:r w:rsidRPr="00642BE9">
        <w:rPr>
          <w:rFonts w:eastAsia="標楷體"/>
        </w:rPr>
        <w:t>題）；以及（</w:t>
      </w:r>
      <w:r w:rsidRPr="00642BE9">
        <w:rPr>
          <w:rFonts w:eastAsia="標楷體"/>
        </w:rPr>
        <w:t>8</w:t>
      </w:r>
      <w:r w:rsidRPr="00642BE9">
        <w:rPr>
          <w:rFonts w:eastAsia="標楷體"/>
        </w:rPr>
        <w:t>）行政配合（</w:t>
      </w:r>
      <w:r w:rsidRPr="00642BE9">
        <w:rPr>
          <w:rFonts w:eastAsia="標楷體"/>
        </w:rPr>
        <w:t>1</w:t>
      </w:r>
      <w:r w:rsidRPr="00642BE9">
        <w:rPr>
          <w:rFonts w:eastAsia="標楷體"/>
        </w:rPr>
        <w:t>題）等方面，進行訓練課程的成效評估。以下為上述八項訓練成效評估之滿意度調查</w:t>
      </w:r>
      <w:proofErr w:type="gramStart"/>
      <w:r w:rsidRPr="00642BE9">
        <w:rPr>
          <w:rFonts w:eastAsia="標楷體"/>
        </w:rPr>
        <w:t>各題項</w:t>
      </w:r>
      <w:proofErr w:type="gramEnd"/>
      <w:r w:rsidRPr="00642BE9">
        <w:rPr>
          <w:rFonts w:eastAsia="標楷體"/>
        </w:rPr>
        <w:t>：</w:t>
      </w:r>
    </w:p>
    <w:p w:rsidR="003414BF" w:rsidRDefault="003414BF" w:rsidP="00825E9E">
      <w:pPr>
        <w:spacing w:beforeLines="50"/>
        <w:rPr>
          <w:rStyle w:val="c0"/>
        </w:rPr>
      </w:pPr>
      <w:bookmarkStart w:id="3" w:name="_Toc276216417"/>
    </w:p>
    <w:p w:rsidR="003414BF" w:rsidRDefault="003414BF" w:rsidP="00825E9E">
      <w:pPr>
        <w:spacing w:beforeLines="50"/>
        <w:rPr>
          <w:rStyle w:val="c0"/>
        </w:rPr>
      </w:pPr>
    </w:p>
    <w:p w:rsidR="004B6352" w:rsidRPr="00642BE9" w:rsidRDefault="004B6352" w:rsidP="00825E9E">
      <w:pPr>
        <w:spacing w:beforeLines="50"/>
        <w:rPr>
          <w:rStyle w:val="c0"/>
        </w:rPr>
      </w:pPr>
      <w:r w:rsidRPr="00642BE9">
        <w:rPr>
          <w:rStyle w:val="c0"/>
        </w:rPr>
        <w:t>表</w:t>
      </w:r>
      <w:r>
        <w:rPr>
          <w:rStyle w:val="c0"/>
        </w:rPr>
        <w:t>2</w:t>
      </w:r>
      <w:r w:rsidRPr="00642BE9">
        <w:rPr>
          <w:rStyle w:val="c0"/>
          <w:rFonts w:hint="eastAsia"/>
        </w:rPr>
        <w:t xml:space="preserve">　</w:t>
      </w:r>
      <w:r w:rsidRPr="00642BE9">
        <w:rPr>
          <w:rStyle w:val="c0"/>
        </w:rPr>
        <w:t>訓練成效評估之滿意度調查題項</w:t>
      </w:r>
      <w:bookmarkEnd w:id="3"/>
    </w:p>
    <w:tbl>
      <w:tblPr>
        <w:tblW w:w="8114" w:type="dxa"/>
        <w:tblInd w:w="14" w:type="dxa"/>
        <w:tblCellMar>
          <w:left w:w="28" w:type="dxa"/>
          <w:right w:w="28" w:type="dxa"/>
        </w:tblCellMar>
        <w:tblLook w:val="0000"/>
      </w:tblPr>
      <w:tblGrid>
        <w:gridCol w:w="8114"/>
      </w:tblGrid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</w:rPr>
              <w:lastRenderedPageBreak/>
              <w:t>訓練成效評估之滿意度</w:t>
            </w:r>
            <w:proofErr w:type="gramStart"/>
            <w:r w:rsidRPr="00642BE9">
              <w:rPr>
                <w:rFonts w:eastAsia="標楷體"/>
              </w:rPr>
              <w:t>調查</w:t>
            </w:r>
            <w:r w:rsidRPr="00642BE9">
              <w:rPr>
                <w:rFonts w:eastAsia="標楷體"/>
                <w:kern w:val="0"/>
              </w:rPr>
              <w:t>問項</w:t>
            </w:r>
            <w:proofErr w:type="gramEnd"/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講</w:t>
            </w:r>
            <w:r w:rsidRPr="00642BE9">
              <w:rPr>
                <w:rFonts w:eastAsia="標楷體"/>
                <w:kern w:val="0"/>
              </w:rPr>
              <w:t xml:space="preserve">    </w:t>
            </w:r>
            <w:r w:rsidRPr="00642BE9">
              <w:rPr>
                <w:rFonts w:eastAsia="標楷體"/>
                <w:kern w:val="0"/>
              </w:rPr>
              <w:t>師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1.</w:t>
            </w:r>
            <w:r w:rsidRPr="00642BE9">
              <w:rPr>
                <w:rFonts w:eastAsia="標楷體"/>
                <w:kern w:val="0"/>
              </w:rPr>
              <w:t>訓練師（講師）授課的專業經驗豐富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2.</w:t>
            </w:r>
            <w:r w:rsidRPr="00642BE9">
              <w:rPr>
                <w:rFonts w:eastAsia="標楷體"/>
                <w:kern w:val="0"/>
              </w:rPr>
              <w:t>訓練師（講師）的上課方式合乎學員需求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時</w:t>
            </w:r>
            <w:r w:rsidRPr="00642BE9">
              <w:rPr>
                <w:rFonts w:eastAsia="標楷體"/>
                <w:kern w:val="0"/>
              </w:rPr>
              <w:t xml:space="preserve">    </w:t>
            </w:r>
            <w:r w:rsidRPr="00642BE9">
              <w:rPr>
                <w:rFonts w:eastAsia="標楷體"/>
                <w:kern w:val="0"/>
              </w:rPr>
              <w:t>數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3.</w:t>
            </w:r>
            <w:r w:rsidRPr="00642BE9">
              <w:rPr>
                <w:rFonts w:eastAsia="標楷體"/>
                <w:kern w:val="0"/>
              </w:rPr>
              <w:t>訓練時數符合課程需要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空</w:t>
            </w:r>
            <w:r w:rsidRPr="00642BE9">
              <w:rPr>
                <w:rFonts w:eastAsia="標楷體"/>
                <w:kern w:val="0"/>
              </w:rPr>
              <w:t xml:space="preserve">    </w:t>
            </w:r>
            <w:r w:rsidRPr="00642BE9">
              <w:rPr>
                <w:rFonts w:eastAsia="標楷體"/>
                <w:kern w:val="0"/>
              </w:rPr>
              <w:t>間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4.</w:t>
            </w:r>
            <w:r w:rsidRPr="00642BE9">
              <w:rPr>
                <w:rFonts w:eastAsia="標楷體"/>
                <w:kern w:val="0"/>
              </w:rPr>
              <w:t>工廠空間的配置符合課程需要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訓練設備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5.</w:t>
            </w:r>
            <w:r w:rsidRPr="00642BE9">
              <w:rPr>
                <w:rFonts w:eastAsia="標楷體"/>
                <w:kern w:val="0"/>
              </w:rPr>
              <w:t>訓練設備符合課程需要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9E19C9">
            <w:pPr>
              <w:pStyle w:val="a3"/>
              <w:spacing w:before="180"/>
            </w:pP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教</w:t>
            </w:r>
            <w:r w:rsidRPr="00642BE9">
              <w:rPr>
                <w:rFonts w:eastAsia="標楷體"/>
                <w:kern w:val="0"/>
              </w:rPr>
              <w:t xml:space="preserve">    </w:t>
            </w:r>
            <w:r w:rsidRPr="00642BE9">
              <w:rPr>
                <w:rFonts w:eastAsia="標楷體"/>
                <w:kern w:val="0"/>
              </w:rPr>
              <w:t>材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6.</w:t>
            </w:r>
            <w:r w:rsidRPr="00642BE9">
              <w:rPr>
                <w:rFonts w:eastAsia="標楷體"/>
                <w:kern w:val="0"/>
              </w:rPr>
              <w:t>教材的編制符合課程需要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訓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練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內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容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安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排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7.</w:t>
            </w:r>
            <w:r w:rsidRPr="00642BE9">
              <w:rPr>
                <w:rFonts w:eastAsia="標楷體"/>
                <w:kern w:val="0"/>
              </w:rPr>
              <w:t>訓練內容能符合課程需要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8.</w:t>
            </w:r>
            <w:r w:rsidRPr="00642BE9">
              <w:rPr>
                <w:rFonts w:eastAsia="標楷體"/>
                <w:kern w:val="0"/>
              </w:rPr>
              <w:t>課程的設計（規劃）能配合訓練需要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效</w:t>
            </w:r>
            <w:r w:rsidRPr="00642BE9">
              <w:rPr>
                <w:rFonts w:eastAsia="標楷體"/>
                <w:kern w:val="0"/>
              </w:rPr>
              <w:t xml:space="preserve">    </w:t>
            </w:r>
            <w:r w:rsidRPr="00642BE9">
              <w:rPr>
                <w:rFonts w:eastAsia="標楷體"/>
                <w:kern w:val="0"/>
              </w:rPr>
              <w:t>用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9.</w:t>
            </w:r>
            <w:r w:rsidRPr="00642BE9">
              <w:rPr>
                <w:rFonts w:eastAsia="標楷體"/>
                <w:kern w:val="0"/>
              </w:rPr>
              <w:t>課程的內容符合個人需求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10.</w:t>
            </w:r>
            <w:r w:rsidRPr="00642BE9">
              <w:rPr>
                <w:rFonts w:eastAsia="標楷體"/>
                <w:kern w:val="0"/>
              </w:rPr>
              <w:t>課程的內容能符合就業市場需求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11.</w:t>
            </w:r>
            <w:r w:rsidRPr="00642BE9">
              <w:rPr>
                <w:rFonts w:eastAsia="標楷體"/>
                <w:kern w:val="0"/>
              </w:rPr>
              <w:t>課程的規劃符合就業市場需求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行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政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配</w:t>
            </w:r>
            <w:r w:rsidRPr="00642BE9">
              <w:rPr>
                <w:rFonts w:eastAsia="標楷體"/>
                <w:kern w:val="0"/>
              </w:rPr>
              <w:t xml:space="preserve"> </w:t>
            </w:r>
            <w:r w:rsidRPr="00642BE9">
              <w:rPr>
                <w:rFonts w:eastAsia="標楷體"/>
                <w:kern w:val="0"/>
              </w:rPr>
              <w:t>合</w:t>
            </w:r>
          </w:p>
        </w:tc>
      </w:tr>
      <w:tr w:rsidR="004B6352" w:rsidRPr="00642BE9" w:rsidTr="00EF45E7">
        <w:trPr>
          <w:trHeight w:val="330"/>
        </w:trPr>
        <w:tc>
          <w:tcPr>
            <w:tcW w:w="81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12.</w:t>
            </w:r>
            <w:r w:rsidRPr="00642BE9">
              <w:rPr>
                <w:rFonts w:eastAsia="標楷體"/>
                <w:kern w:val="0"/>
              </w:rPr>
              <w:t>對訓練單位行政人員之配合度感覺滿意</w:t>
            </w:r>
          </w:p>
        </w:tc>
      </w:tr>
    </w:tbl>
    <w:p w:rsidR="004B6352" w:rsidRPr="00642BE9" w:rsidRDefault="004B6352" w:rsidP="00825E9E">
      <w:pPr>
        <w:spacing w:beforeLines="50"/>
        <w:rPr>
          <w:rFonts w:eastAsia="標楷體"/>
        </w:rPr>
      </w:pPr>
      <w:r w:rsidRPr="00642BE9">
        <w:rPr>
          <w:rFonts w:eastAsia="標楷體"/>
          <w:kern w:val="0"/>
        </w:rPr>
        <w:tab/>
      </w:r>
      <w:r w:rsidRPr="00642BE9">
        <w:rPr>
          <w:rFonts w:eastAsia="標楷體"/>
          <w:kern w:val="0"/>
        </w:rPr>
        <w:t>另一方面，在學員的學習部份，主要針對</w:t>
      </w:r>
      <w:proofErr w:type="gramStart"/>
      <w:r w:rsidRPr="00642BE9">
        <w:rPr>
          <w:rFonts w:eastAsia="標楷體"/>
          <w:kern w:val="0"/>
        </w:rPr>
        <w:t>學員參訓後</w:t>
      </w:r>
      <w:proofErr w:type="gramEnd"/>
      <w:r w:rsidRPr="00642BE9">
        <w:rPr>
          <w:rFonts w:eastAsia="標楷體"/>
          <w:kern w:val="0"/>
        </w:rPr>
        <w:t>針對自身在工作能力或基本技術取得上的認知進行調查，其主要</w:t>
      </w:r>
      <w:proofErr w:type="gramStart"/>
      <w:r w:rsidRPr="00642BE9">
        <w:rPr>
          <w:rFonts w:eastAsia="標楷體"/>
          <w:kern w:val="0"/>
        </w:rPr>
        <w:t>的題項包括</w:t>
      </w:r>
      <w:proofErr w:type="gramEnd"/>
      <w:r w:rsidRPr="00642BE9">
        <w:rPr>
          <w:rFonts w:eastAsia="標楷體"/>
          <w:kern w:val="0"/>
        </w:rPr>
        <w:t>：（</w:t>
      </w:r>
      <w:r w:rsidRPr="00642BE9">
        <w:rPr>
          <w:rFonts w:eastAsia="標楷體"/>
          <w:kern w:val="0"/>
        </w:rPr>
        <w:t>1</w:t>
      </w:r>
      <w:r w:rsidRPr="00642BE9">
        <w:rPr>
          <w:rFonts w:eastAsia="標楷體"/>
          <w:kern w:val="0"/>
        </w:rPr>
        <w:t>）學習投入；（</w:t>
      </w:r>
      <w:r w:rsidRPr="00642BE9">
        <w:rPr>
          <w:rFonts w:eastAsia="標楷體"/>
          <w:kern w:val="0"/>
        </w:rPr>
        <w:t>2</w:t>
      </w:r>
      <w:r w:rsidRPr="00642BE9">
        <w:rPr>
          <w:rFonts w:eastAsia="標楷體"/>
          <w:kern w:val="0"/>
        </w:rPr>
        <w:t>）課程內容吸收；（</w:t>
      </w:r>
      <w:r w:rsidRPr="00642BE9">
        <w:rPr>
          <w:rFonts w:eastAsia="標楷體"/>
          <w:kern w:val="0"/>
        </w:rPr>
        <w:t>3</w:t>
      </w:r>
      <w:r w:rsidRPr="00642BE9">
        <w:rPr>
          <w:rFonts w:eastAsia="標楷體"/>
          <w:kern w:val="0"/>
        </w:rPr>
        <w:t>）技能的習得；（</w:t>
      </w:r>
      <w:r w:rsidRPr="00642BE9">
        <w:rPr>
          <w:rFonts w:eastAsia="標楷體"/>
          <w:kern w:val="0"/>
        </w:rPr>
        <w:t>4</w:t>
      </w:r>
      <w:r w:rsidRPr="00642BE9">
        <w:rPr>
          <w:rFonts w:eastAsia="標楷體"/>
          <w:kern w:val="0"/>
        </w:rPr>
        <w:t>）學習成果；（</w:t>
      </w:r>
      <w:r w:rsidRPr="00642BE9">
        <w:rPr>
          <w:rFonts w:eastAsia="標楷體"/>
          <w:kern w:val="0"/>
        </w:rPr>
        <w:t>5</w:t>
      </w:r>
      <w:r w:rsidRPr="00642BE9">
        <w:rPr>
          <w:rFonts w:eastAsia="標楷體"/>
          <w:kern w:val="0"/>
        </w:rPr>
        <w:t>）</w:t>
      </w:r>
      <w:proofErr w:type="gramStart"/>
      <w:r w:rsidRPr="00642BE9">
        <w:rPr>
          <w:rFonts w:eastAsia="標楷體"/>
          <w:kern w:val="0"/>
        </w:rPr>
        <w:t>技能檢能或</w:t>
      </w:r>
      <w:proofErr w:type="gramEnd"/>
      <w:r w:rsidRPr="00642BE9">
        <w:rPr>
          <w:rFonts w:eastAsia="標楷體"/>
          <w:kern w:val="0"/>
        </w:rPr>
        <w:t>職業證書之取得；（</w:t>
      </w:r>
      <w:r w:rsidRPr="00642BE9">
        <w:rPr>
          <w:rFonts w:eastAsia="標楷體"/>
          <w:kern w:val="0"/>
        </w:rPr>
        <w:t>6</w:t>
      </w:r>
      <w:r w:rsidRPr="00642BE9">
        <w:rPr>
          <w:rFonts w:eastAsia="標楷體"/>
          <w:kern w:val="0"/>
        </w:rPr>
        <w:t>）職業技能及知識之提升；（</w:t>
      </w:r>
      <w:r w:rsidRPr="00642BE9">
        <w:rPr>
          <w:rFonts w:eastAsia="標楷體"/>
          <w:kern w:val="0"/>
        </w:rPr>
        <w:t>7</w:t>
      </w:r>
      <w:r w:rsidRPr="00642BE9">
        <w:rPr>
          <w:rFonts w:eastAsia="標楷體"/>
          <w:kern w:val="0"/>
        </w:rPr>
        <w:t>）對工作的幫助；（</w:t>
      </w:r>
      <w:r w:rsidRPr="00642BE9">
        <w:rPr>
          <w:rFonts w:eastAsia="標楷體"/>
          <w:kern w:val="0"/>
        </w:rPr>
        <w:t>8</w:t>
      </w:r>
      <w:r w:rsidRPr="00642BE9">
        <w:rPr>
          <w:rFonts w:eastAsia="標楷體"/>
          <w:kern w:val="0"/>
        </w:rPr>
        <w:t>）對就業（專業）的幫助等。</w:t>
      </w:r>
      <w:r w:rsidRPr="00642BE9">
        <w:rPr>
          <w:rFonts w:eastAsia="標楷體"/>
        </w:rPr>
        <w:t>以下為上述八項訓練學習之評估的</w:t>
      </w:r>
      <w:proofErr w:type="gramStart"/>
      <w:r w:rsidRPr="00642BE9">
        <w:rPr>
          <w:rFonts w:eastAsia="標楷體"/>
        </w:rPr>
        <w:t>調查題項</w:t>
      </w:r>
      <w:proofErr w:type="gramEnd"/>
      <w:r>
        <w:rPr>
          <w:rFonts w:eastAsia="標楷體" w:hint="eastAsia"/>
        </w:rPr>
        <w:t>（</w:t>
      </w:r>
      <w:r w:rsidRPr="00642BE9">
        <w:rPr>
          <w:rFonts w:eastAsia="標楷體" w:hint="eastAsia"/>
        </w:rPr>
        <w:t>問卷內容參閱附錄二</w:t>
      </w:r>
      <w:r>
        <w:rPr>
          <w:rFonts w:eastAsia="標楷體" w:hint="eastAsia"/>
        </w:rPr>
        <w:t>）</w:t>
      </w:r>
      <w:r w:rsidRPr="00642BE9">
        <w:rPr>
          <w:rFonts w:eastAsia="標楷體"/>
        </w:rPr>
        <w:t>：</w:t>
      </w:r>
    </w:p>
    <w:p w:rsidR="004B6352" w:rsidRPr="00642BE9" w:rsidRDefault="004B6352" w:rsidP="009E19C9">
      <w:pPr>
        <w:pStyle w:val="c"/>
        <w:spacing w:before="180"/>
      </w:pPr>
      <w:bookmarkStart w:id="4" w:name="_Toc276216418"/>
      <w:r w:rsidRPr="00642BE9">
        <w:t>表</w:t>
      </w:r>
      <w:r w:rsidR="003414BF">
        <w:rPr>
          <w:rFonts w:hint="eastAsia"/>
        </w:rPr>
        <w:t>3</w:t>
      </w:r>
      <w:r w:rsidRPr="00642BE9">
        <w:rPr>
          <w:rFonts w:hint="eastAsia"/>
        </w:rPr>
        <w:t xml:space="preserve">　</w:t>
      </w:r>
      <w:r w:rsidRPr="00642BE9">
        <w:t>訓練學習之評估調查題項</w:t>
      </w:r>
      <w:bookmarkEnd w:id="4"/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8362"/>
      </w:tblGrid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</w:rPr>
              <w:t>訓練學習</w:t>
            </w:r>
            <w:proofErr w:type="gramStart"/>
            <w:r w:rsidRPr="00642BE9">
              <w:rPr>
                <w:rFonts w:eastAsia="標楷體"/>
              </w:rPr>
              <w:t>評估</w:t>
            </w:r>
            <w:r w:rsidRPr="00642BE9">
              <w:rPr>
                <w:rFonts w:eastAsia="標楷體"/>
                <w:kern w:val="0"/>
              </w:rPr>
              <w:t>問項</w:t>
            </w:r>
            <w:proofErr w:type="gramEnd"/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學習投入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1.</w:t>
            </w:r>
            <w:r w:rsidRPr="00642BE9">
              <w:rPr>
                <w:rFonts w:eastAsia="標楷體"/>
                <w:kern w:val="0"/>
              </w:rPr>
              <w:t>您能專注於訓練課程的學習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課程內容吸收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2.</w:t>
            </w:r>
            <w:r w:rsidRPr="00642BE9">
              <w:rPr>
                <w:rFonts w:eastAsia="標楷體"/>
                <w:kern w:val="0"/>
              </w:rPr>
              <w:t>您已充分了解本訓練課程的內容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技能的習得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3.</w:t>
            </w:r>
            <w:r w:rsidRPr="00642BE9">
              <w:rPr>
                <w:rFonts w:eastAsia="標楷體"/>
                <w:kern w:val="0"/>
              </w:rPr>
              <w:t>您已學會本訓練課程的技能（術）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學習成果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lastRenderedPageBreak/>
              <w:t>4.</w:t>
            </w:r>
            <w:r w:rsidRPr="00642BE9">
              <w:rPr>
                <w:rFonts w:eastAsia="標楷體"/>
                <w:kern w:val="0"/>
              </w:rPr>
              <w:t>您對課後學習評量結果（或技能檢定）感覺滿意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proofErr w:type="gramStart"/>
            <w:r w:rsidRPr="00642BE9">
              <w:rPr>
                <w:rFonts w:eastAsia="標楷體"/>
                <w:kern w:val="0"/>
              </w:rPr>
              <w:t>技能檢能或</w:t>
            </w:r>
            <w:proofErr w:type="gramEnd"/>
            <w:r w:rsidRPr="00642BE9">
              <w:rPr>
                <w:rFonts w:eastAsia="標楷體"/>
                <w:kern w:val="0"/>
              </w:rPr>
              <w:t>職業證書之取得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5.</w:t>
            </w:r>
            <w:r w:rsidRPr="00642BE9">
              <w:rPr>
                <w:rFonts w:eastAsia="標楷體"/>
                <w:kern w:val="0"/>
              </w:rPr>
              <w:t>您參加職業訓練後能取得技能檢定或職業證書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職業技能及知識之提升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6.</w:t>
            </w:r>
            <w:r w:rsidRPr="00642BE9">
              <w:rPr>
                <w:rFonts w:eastAsia="標楷體"/>
                <w:kern w:val="0"/>
              </w:rPr>
              <w:t>您參加職業訓練可以提升個人的職業技能及知識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對工作的幫助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7.</w:t>
            </w:r>
            <w:r w:rsidRPr="00642BE9">
              <w:rPr>
                <w:rFonts w:eastAsia="標楷體"/>
                <w:kern w:val="0"/>
              </w:rPr>
              <w:t>您參加職業訓練課程後，對目前的工作有幫助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center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對就業（轉業）的幫助</w:t>
            </w:r>
          </w:p>
        </w:tc>
      </w:tr>
      <w:tr w:rsidR="004B6352" w:rsidRPr="00642BE9" w:rsidTr="00EF45E7">
        <w:trPr>
          <w:trHeight w:val="33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B6352" w:rsidRPr="00642BE9" w:rsidRDefault="004B6352" w:rsidP="00EF45E7">
            <w:pPr>
              <w:widowControl/>
              <w:jc w:val="both"/>
              <w:rPr>
                <w:rFonts w:eastAsia="標楷體"/>
                <w:kern w:val="0"/>
              </w:rPr>
            </w:pPr>
            <w:r w:rsidRPr="00642BE9">
              <w:rPr>
                <w:rFonts w:eastAsia="標楷體"/>
                <w:kern w:val="0"/>
              </w:rPr>
              <w:t>8.</w:t>
            </w:r>
            <w:r w:rsidRPr="00642BE9">
              <w:rPr>
                <w:rFonts w:eastAsia="標楷體"/>
                <w:kern w:val="0"/>
              </w:rPr>
              <w:t>您參加職業訓練課程後，對就業（轉業）有幫助</w:t>
            </w:r>
          </w:p>
        </w:tc>
      </w:tr>
    </w:tbl>
    <w:p w:rsidR="004B6352" w:rsidRPr="00642BE9" w:rsidRDefault="004B6352" w:rsidP="00825E9E">
      <w:pPr>
        <w:spacing w:beforeLines="5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在質性資料方面，由深度訪談的訪談大綱中所列的</w:t>
      </w:r>
      <w:proofErr w:type="gramStart"/>
      <w:r w:rsidRPr="00642BE9">
        <w:rPr>
          <w:rFonts w:eastAsia="標楷體"/>
          <w:kern w:val="0"/>
        </w:rPr>
        <w:t>訪談題項進一步</w:t>
      </w:r>
      <w:proofErr w:type="gramEnd"/>
      <w:r w:rsidRPr="00642BE9">
        <w:rPr>
          <w:rFonts w:eastAsia="標楷體"/>
          <w:kern w:val="0"/>
        </w:rPr>
        <w:t>獲取外籍配偶（含大陸配偶）參與職業訓練成效的感受與看法，訪談大綱中與職訓成效滿意度有關之訪談問題如下：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講師部份：請問您對職業訓練講師教學的看法如何？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時數部份：您認為職訓課程的時間安排是否合適？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空間部份：您認為職訓場地的安排是否合適？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訓練設備部份：您認為職業訓練的訓練設備是否適合？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教材部份：您是否能瞭解職業訓練課程中的講義內容？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訓練內容安排：您覺得職業訓練課程的內容安排是否適當？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效用部份：您覺得職業訓練的課程是否符合市場上的需求？您認為參與職業訓練課程後對日後就業上是否有幫助</w:t>
      </w:r>
      <w:r w:rsidRPr="00642BE9">
        <w:rPr>
          <w:rFonts w:eastAsia="標楷體"/>
          <w:kern w:val="0"/>
        </w:rPr>
        <w:t xml:space="preserve">? </w:t>
      </w:r>
      <w:r w:rsidRPr="00642BE9">
        <w:rPr>
          <w:rFonts w:eastAsia="標楷體"/>
          <w:kern w:val="0"/>
        </w:rPr>
        <w:t>？</w:t>
      </w:r>
    </w:p>
    <w:p w:rsidR="004B6352" w:rsidRPr="00642BE9" w:rsidRDefault="004B6352" w:rsidP="00825E9E">
      <w:pPr>
        <w:numPr>
          <w:ilvl w:val="2"/>
          <w:numId w:val="2"/>
        </w:numPr>
        <w:tabs>
          <w:tab w:val="clear" w:pos="1320"/>
          <w:tab w:val="num" w:pos="720"/>
        </w:tabs>
        <w:spacing w:beforeLines="50"/>
        <w:ind w:left="720" w:hanging="180"/>
        <w:rPr>
          <w:rFonts w:eastAsia="標楷體"/>
          <w:kern w:val="0"/>
        </w:rPr>
      </w:pPr>
      <w:r w:rsidRPr="00642BE9">
        <w:rPr>
          <w:rFonts w:eastAsia="標楷體"/>
          <w:kern w:val="0"/>
        </w:rPr>
        <w:t>行政配合部份：您覺得職訓人員在訓練過程中是否能有效地協助您參與訓練？</w:t>
      </w:r>
    </w:p>
    <w:p w:rsidR="004B6352" w:rsidRPr="00C16EAD" w:rsidRDefault="004B6352" w:rsidP="004B6352">
      <w:pPr>
        <w:rPr>
          <w:rFonts w:eastAsia="標楷體"/>
          <w:kern w:val="0"/>
        </w:rPr>
      </w:pPr>
    </w:p>
    <w:p w:rsidR="00993852" w:rsidRDefault="00993852"/>
    <w:p w:rsidR="00C16EAD" w:rsidRPr="00642BE9" w:rsidRDefault="00C16EAD" w:rsidP="00AD2E0A">
      <w:pPr>
        <w:pStyle w:val="af1"/>
        <w:spacing w:after="180"/>
        <w:jc w:val="left"/>
        <w:rPr>
          <w:bCs/>
        </w:rPr>
      </w:pPr>
      <w:bookmarkStart w:id="5" w:name="_Toc275106887"/>
      <w:r w:rsidRPr="00642BE9">
        <w:t>參考書目</w:t>
      </w:r>
      <w:bookmarkEnd w:id="5"/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王居卿（</w:t>
      </w:r>
      <w:r w:rsidRPr="00642BE9">
        <w:rPr>
          <w:rFonts w:eastAsia="標楷體"/>
        </w:rPr>
        <w:t>2000</w:t>
      </w:r>
      <w:r w:rsidRPr="00642BE9">
        <w:rPr>
          <w:rFonts w:eastAsia="標楷體"/>
        </w:rPr>
        <w:t>）。訓練模式與其成效之關係探討</w:t>
      </w:r>
      <w:r w:rsidRPr="00642BE9">
        <w:rPr>
          <w:rFonts w:eastAsia="標楷體"/>
        </w:rPr>
        <w:t>--</w:t>
      </w:r>
      <w:r w:rsidRPr="00642BE9">
        <w:rPr>
          <w:rFonts w:eastAsia="標楷體"/>
        </w:rPr>
        <w:t>以高科技產業為例。</w:t>
      </w:r>
      <w:r w:rsidRPr="00642BE9">
        <w:rPr>
          <w:rFonts w:eastAsia="標楷體"/>
          <w:i/>
        </w:rPr>
        <w:t>淡江人文社會學刊，</w:t>
      </w:r>
      <w:r w:rsidRPr="00642BE9">
        <w:rPr>
          <w:rFonts w:eastAsia="標楷體"/>
          <w:i/>
        </w:rPr>
        <w:t>5</w:t>
      </w:r>
      <w:r w:rsidRPr="00642BE9">
        <w:rPr>
          <w:rFonts w:eastAsia="標楷體"/>
        </w:rPr>
        <w:t>，</w:t>
      </w:r>
      <w:r w:rsidRPr="00642BE9">
        <w:rPr>
          <w:rFonts w:eastAsia="標楷體"/>
        </w:rPr>
        <w:t>41-78</w:t>
      </w:r>
      <w:r w:rsidRPr="00642BE9">
        <w:rPr>
          <w:rFonts w:eastAsia="標楷體"/>
        </w:rPr>
        <w:t>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王湧泉、吳思達、黃佳純（</w:t>
      </w:r>
      <w:r w:rsidRPr="00642BE9">
        <w:rPr>
          <w:rFonts w:eastAsia="標楷體"/>
        </w:rPr>
        <w:t>2008</w:t>
      </w:r>
      <w:r w:rsidRPr="00642BE9">
        <w:rPr>
          <w:rFonts w:eastAsia="標楷體"/>
        </w:rPr>
        <w:t>）。</w:t>
      </w:r>
      <w:r w:rsidRPr="00642BE9">
        <w:rPr>
          <w:rFonts w:eastAsia="標楷體"/>
          <w:i/>
        </w:rPr>
        <w:t>97</w:t>
      </w:r>
      <w:r w:rsidRPr="00642BE9">
        <w:rPr>
          <w:rFonts w:eastAsia="標楷體"/>
          <w:i/>
        </w:rPr>
        <w:t>年度訓練品質規範評核與服務工作實施計畫</w:t>
      </w:r>
      <w:proofErr w:type="gramStart"/>
      <w:r w:rsidRPr="00642BE9">
        <w:rPr>
          <w:rFonts w:eastAsia="標楷體"/>
          <w:i/>
        </w:rPr>
        <w:t>—</w:t>
      </w:r>
      <w:proofErr w:type="gramEnd"/>
      <w:r w:rsidRPr="00642BE9">
        <w:rPr>
          <w:rFonts w:eastAsia="標楷體"/>
          <w:i/>
        </w:rPr>
        <w:t>TTQS</w:t>
      </w:r>
      <w:r w:rsidRPr="00642BE9">
        <w:rPr>
          <w:rFonts w:eastAsia="標楷體"/>
          <w:i/>
        </w:rPr>
        <w:t>訓練品質計分卡績效評估及研究分析</w:t>
      </w:r>
      <w:r w:rsidRPr="00642BE9">
        <w:rPr>
          <w:rFonts w:eastAsia="標楷體"/>
        </w:rPr>
        <w:t>。高雄：高雄應用科技大學（高雄市工業會委託研究）。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巫春莉（</w:t>
      </w:r>
      <w:r w:rsidRPr="00642BE9">
        <w:rPr>
          <w:rFonts w:eastAsia="標楷體"/>
        </w:rPr>
        <w:t>2007</w:t>
      </w:r>
      <w:r w:rsidRPr="00642BE9">
        <w:rPr>
          <w:rFonts w:eastAsia="標楷體"/>
        </w:rPr>
        <w:t>）。</w:t>
      </w:r>
      <w:r w:rsidRPr="00642BE9">
        <w:rPr>
          <w:rFonts w:eastAsia="標楷體"/>
          <w:i/>
        </w:rPr>
        <w:t>訓練機構評鑑模式之探討</w:t>
      </w:r>
      <w:r w:rsidRPr="00642BE9">
        <w:rPr>
          <w:rFonts w:eastAsia="標楷體"/>
        </w:rPr>
        <w:t>。台北大學企業管理學研究所碩士論文，未出版，台北。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lastRenderedPageBreak/>
        <w:t>李誠、辛炳隆</w:t>
      </w:r>
      <w:r w:rsidRPr="00642BE9">
        <w:rPr>
          <w:rFonts w:eastAsia="標楷體"/>
        </w:rPr>
        <w:t xml:space="preserve"> </w:t>
      </w:r>
      <w:r>
        <w:rPr>
          <w:rFonts w:eastAsia="標楷體"/>
        </w:rPr>
        <w:t>（</w:t>
      </w:r>
      <w:r w:rsidRPr="00642BE9">
        <w:rPr>
          <w:rFonts w:eastAsia="標楷體"/>
        </w:rPr>
        <w:t>2005</w:t>
      </w:r>
      <w:r>
        <w:rPr>
          <w:rFonts w:eastAsia="標楷體"/>
        </w:rPr>
        <w:t>）</w:t>
      </w:r>
      <w:r w:rsidRPr="00642BE9">
        <w:rPr>
          <w:rFonts w:eastAsia="標楷體"/>
        </w:rPr>
        <w:t>。</w:t>
      </w:r>
      <w:r w:rsidRPr="00642BE9">
        <w:rPr>
          <w:rFonts w:eastAsia="標楷體"/>
          <w:i/>
        </w:rPr>
        <w:t>強化我國職業訓練體系之研究</w:t>
      </w:r>
      <w:r w:rsidRPr="00642BE9">
        <w:rPr>
          <w:rFonts w:eastAsia="標楷體"/>
        </w:rPr>
        <w:t>。台北</w:t>
      </w:r>
      <w:r w:rsidRPr="00642BE9">
        <w:rPr>
          <w:rFonts w:eastAsia="標楷體"/>
        </w:rPr>
        <w:t>:</w:t>
      </w:r>
      <w:r w:rsidRPr="00642BE9">
        <w:rPr>
          <w:rFonts w:eastAsia="標楷體"/>
        </w:rPr>
        <w:t>行政院經濟建設委員會。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李德純（</w:t>
      </w:r>
      <w:r w:rsidRPr="00642BE9">
        <w:rPr>
          <w:rFonts w:eastAsia="標楷體"/>
        </w:rPr>
        <w:t>2010</w:t>
      </w:r>
      <w:r w:rsidRPr="00642BE9">
        <w:rPr>
          <w:rFonts w:eastAsia="標楷體"/>
        </w:rPr>
        <w:t>）。</w:t>
      </w:r>
      <w:r w:rsidRPr="00642BE9">
        <w:rPr>
          <w:rFonts w:eastAsia="標楷體"/>
          <w:i/>
        </w:rPr>
        <w:t>職業訓練成效與就業</w:t>
      </w:r>
      <w:proofErr w:type="gramStart"/>
      <w:r w:rsidRPr="00642BE9">
        <w:rPr>
          <w:rFonts w:eastAsia="標楷體"/>
          <w:i/>
        </w:rPr>
        <w:t>轉銜網絡</w:t>
      </w:r>
      <w:proofErr w:type="gramEnd"/>
      <w:r w:rsidRPr="00642BE9">
        <w:rPr>
          <w:rFonts w:eastAsia="標楷體"/>
          <w:i/>
        </w:rPr>
        <w:t>研</w:t>
      </w:r>
      <w:r w:rsidRPr="00642BE9">
        <w:rPr>
          <w:rFonts w:eastAsia="標楷體"/>
        </w:rPr>
        <w:t>究。高雄師範大學工業科技教育學系博士論文，未出版，高雄。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林瑞鑫（</w:t>
      </w:r>
      <w:r w:rsidRPr="00642BE9">
        <w:rPr>
          <w:rFonts w:eastAsia="標楷體"/>
        </w:rPr>
        <w:t>2008</w:t>
      </w:r>
      <w:r w:rsidRPr="00642BE9">
        <w:rPr>
          <w:rFonts w:eastAsia="標楷體"/>
        </w:rPr>
        <w:t>）。</w:t>
      </w:r>
      <w:r w:rsidRPr="00642BE9">
        <w:rPr>
          <w:rFonts w:eastAsia="標楷體"/>
          <w:i/>
        </w:rPr>
        <w:t>我國公共職業訓練機構訓用落差改善之研究</w:t>
      </w:r>
      <w:r w:rsidRPr="00642BE9">
        <w:rPr>
          <w:rFonts w:eastAsia="標楷體"/>
        </w:rPr>
        <w:t>。中華大學科技管理學研究所博士論文，未出版，新竹。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孫仲山、李德純、方妙玲、</w:t>
      </w:r>
      <w:proofErr w:type="gramStart"/>
      <w:r w:rsidRPr="00642BE9">
        <w:rPr>
          <w:rFonts w:eastAsia="標楷體"/>
        </w:rPr>
        <w:t>蘇峰慶</w:t>
      </w:r>
      <w:proofErr w:type="gramEnd"/>
      <w:r w:rsidRPr="00642BE9">
        <w:rPr>
          <w:rFonts w:eastAsia="標楷體"/>
        </w:rPr>
        <w:t xml:space="preserve"> </w:t>
      </w:r>
      <w:r>
        <w:rPr>
          <w:rFonts w:eastAsia="標楷體"/>
        </w:rPr>
        <w:t>（</w:t>
      </w:r>
      <w:r w:rsidRPr="00642BE9">
        <w:rPr>
          <w:rFonts w:eastAsia="標楷體"/>
        </w:rPr>
        <w:t>2009</w:t>
      </w:r>
      <w:r>
        <w:rPr>
          <w:rFonts w:eastAsia="標楷體"/>
        </w:rPr>
        <w:t>）</w:t>
      </w:r>
      <w:r w:rsidRPr="00642BE9">
        <w:rPr>
          <w:rFonts w:eastAsia="標楷體"/>
        </w:rPr>
        <w:t>。中長期失業者職業訓練成效之影響因素與評估研究</w:t>
      </w:r>
      <w:r w:rsidRPr="00C16EAD">
        <w:rPr>
          <w:rFonts w:eastAsia="標楷體"/>
        </w:rPr>
        <w:t>。</w:t>
      </w:r>
      <w:r w:rsidRPr="00642BE9">
        <w:rPr>
          <w:rFonts w:eastAsia="標楷體"/>
        </w:rPr>
        <w:t>行政院勞工委員會職業訓練局泰山職業訓練中心，台北。</w:t>
      </w:r>
    </w:p>
    <w:p w:rsidR="00C16EAD" w:rsidRPr="00642BE9" w:rsidRDefault="00C16EAD" w:rsidP="00825E9E">
      <w:pPr>
        <w:spacing w:afterLines="50"/>
        <w:ind w:left="490" w:hangingChars="204" w:hanging="490"/>
        <w:rPr>
          <w:rFonts w:eastAsia="標楷體"/>
        </w:rPr>
      </w:pPr>
      <w:r w:rsidRPr="00642BE9">
        <w:rPr>
          <w:rFonts w:eastAsia="標楷體"/>
        </w:rPr>
        <w:t>劉彥慧（</w:t>
      </w:r>
      <w:r w:rsidRPr="00642BE9">
        <w:rPr>
          <w:rFonts w:eastAsia="標楷體"/>
        </w:rPr>
        <w:t>2009</w:t>
      </w:r>
      <w:r w:rsidRPr="00642BE9">
        <w:rPr>
          <w:rFonts w:eastAsia="標楷體"/>
        </w:rPr>
        <w:t>）訓練品質評核指標之研究</w:t>
      </w:r>
      <w:proofErr w:type="gramStart"/>
      <w:r w:rsidRPr="00642BE9">
        <w:rPr>
          <w:rFonts w:eastAsia="標楷體"/>
        </w:rPr>
        <w:t>—</w:t>
      </w:r>
      <w:proofErr w:type="gramEnd"/>
      <w:r w:rsidRPr="00642BE9">
        <w:rPr>
          <w:rFonts w:eastAsia="標楷體"/>
        </w:rPr>
        <w:t>以國家訓練品質系統（</w:t>
      </w:r>
      <w:r w:rsidRPr="00642BE9">
        <w:rPr>
          <w:rFonts w:eastAsia="標楷體"/>
        </w:rPr>
        <w:t>TTQS</w:t>
      </w:r>
      <w:r w:rsidRPr="00642BE9">
        <w:rPr>
          <w:rFonts w:eastAsia="標楷體"/>
        </w:rPr>
        <w:t>）為例。高雄應用科技大學人力資源發展研究所碩士論文，未出版，高雄。</w:t>
      </w:r>
    </w:p>
    <w:p w:rsidR="00C16EAD" w:rsidRPr="00642BE9" w:rsidRDefault="00C16EAD" w:rsidP="00825E9E">
      <w:pPr>
        <w:spacing w:afterLines="50" w:line="0" w:lineRule="atLeast"/>
        <w:ind w:left="490" w:hangingChars="204" w:hanging="490"/>
        <w:jc w:val="both"/>
        <w:rPr>
          <w:rFonts w:eastAsia="標楷體"/>
        </w:rPr>
      </w:pPr>
      <w:r w:rsidRPr="00642BE9">
        <w:rPr>
          <w:rFonts w:eastAsia="標楷體"/>
        </w:rPr>
        <w:t>謝慧賢（</w:t>
      </w:r>
      <w:r w:rsidRPr="00642BE9">
        <w:rPr>
          <w:rFonts w:eastAsia="標楷體"/>
        </w:rPr>
        <w:t>2007</w:t>
      </w:r>
      <w:r w:rsidRPr="00642BE9">
        <w:rPr>
          <w:rFonts w:eastAsia="標楷體"/>
        </w:rPr>
        <w:t>）。</w:t>
      </w:r>
      <w:r w:rsidRPr="00642BE9">
        <w:rPr>
          <w:rFonts w:eastAsia="標楷體"/>
        </w:rPr>
        <w:t>ROI</w:t>
      </w:r>
      <w:r w:rsidRPr="00642BE9">
        <w:rPr>
          <w:rFonts w:eastAsia="標楷體"/>
        </w:rPr>
        <w:t>評估模式於管理才能發展訓練成效評估之應用</w:t>
      </w:r>
      <w:proofErr w:type="gramStart"/>
      <w:r w:rsidRPr="00642BE9">
        <w:rPr>
          <w:rFonts w:eastAsia="標楷體"/>
        </w:rPr>
        <w:t>—</w:t>
      </w:r>
      <w:proofErr w:type="gramEnd"/>
      <w:r w:rsidRPr="00642BE9">
        <w:rPr>
          <w:rFonts w:eastAsia="標楷體"/>
        </w:rPr>
        <w:t>以公務訓練機構為例。高雄應用科技大學人力資源發展研究所碩士論文，未出版，高雄。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r w:rsidRPr="00642BE9">
        <w:t xml:space="preserve">Becker, BE, </w:t>
      </w:r>
      <w:proofErr w:type="spellStart"/>
      <w:r w:rsidRPr="00642BE9">
        <w:t>Huselid</w:t>
      </w:r>
      <w:proofErr w:type="spellEnd"/>
      <w:r w:rsidRPr="00642BE9">
        <w:t xml:space="preserve">, MA &amp; Ulrich D., </w:t>
      </w:r>
      <w:r>
        <w:t>（</w:t>
      </w:r>
      <w:r w:rsidRPr="00642BE9">
        <w:t>2001</w:t>
      </w:r>
      <w:r>
        <w:t>）</w:t>
      </w:r>
      <w:r w:rsidRPr="00642BE9">
        <w:t xml:space="preserve">. </w:t>
      </w:r>
      <w:r w:rsidRPr="00642BE9">
        <w:rPr>
          <w:i/>
        </w:rPr>
        <w:t xml:space="preserve">The HR Scorecard, HBS Press, Boston, </w:t>
      </w:r>
      <w:proofErr w:type="spellStart"/>
      <w:r w:rsidRPr="00642BE9">
        <w:rPr>
          <w:i/>
        </w:rPr>
        <w:t>MASS.Comprehensive</w:t>
      </w:r>
      <w:proofErr w:type="spellEnd"/>
      <w:r w:rsidRPr="00642BE9">
        <w:rPr>
          <w:i/>
        </w:rPr>
        <w:t xml:space="preserve"> resource on embedding HR processes and initiatives including learning and development into the business and strategy of the </w:t>
      </w:r>
      <w:proofErr w:type="spellStart"/>
      <w:r w:rsidRPr="00642BE9">
        <w:rPr>
          <w:i/>
        </w:rPr>
        <w:t>organisation</w:t>
      </w:r>
      <w:proofErr w:type="spellEnd"/>
      <w:r w:rsidRPr="00642BE9">
        <w:t xml:space="preserve">. </w:t>
      </w:r>
      <w:proofErr w:type="gramStart"/>
      <w:r w:rsidRPr="00642BE9">
        <w:t>Very useful tools for ensuring alignment and relevance.</w:t>
      </w:r>
      <w:proofErr w:type="gramEnd"/>
      <w:r w:rsidRPr="00642BE9">
        <w:t xml:space="preserve"> 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proofErr w:type="gramStart"/>
      <w:r w:rsidRPr="00642BE9">
        <w:rPr>
          <w:rFonts w:eastAsia="標楷體"/>
        </w:rPr>
        <w:t xml:space="preserve">Brinkerhoff, R. O. </w:t>
      </w:r>
      <w:r>
        <w:rPr>
          <w:rFonts w:eastAsia="標楷體"/>
        </w:rPr>
        <w:t>（</w:t>
      </w:r>
      <w:r w:rsidRPr="00642BE9">
        <w:rPr>
          <w:rFonts w:eastAsia="標楷體"/>
        </w:rPr>
        <w:t>1987</w:t>
      </w:r>
      <w:r>
        <w:rPr>
          <w:rFonts w:eastAsia="標楷體"/>
        </w:rPr>
        <w:t>）</w:t>
      </w:r>
      <w:r w:rsidRPr="00642BE9">
        <w:rPr>
          <w:rFonts w:eastAsia="標楷體"/>
        </w:rPr>
        <w:t>.</w:t>
      </w:r>
      <w:proofErr w:type="gramEnd"/>
      <w:r w:rsidRPr="00642BE9">
        <w:rPr>
          <w:rFonts w:eastAsia="標楷體"/>
        </w:rPr>
        <w:t xml:space="preserve"> </w:t>
      </w:r>
      <w:r w:rsidRPr="00642BE9">
        <w:rPr>
          <w:rFonts w:eastAsia="標楷體"/>
          <w:i/>
        </w:rPr>
        <w:t>Achieving Results from Training</w:t>
      </w:r>
      <w:r w:rsidRPr="00642BE9">
        <w:rPr>
          <w:rFonts w:eastAsia="標楷體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642BE9">
            <w:rPr>
              <w:rFonts w:eastAsia="標楷體"/>
            </w:rPr>
            <w:t>San Francisco</w:t>
          </w:r>
        </w:smartTag>
      </w:smartTag>
      <w:r w:rsidRPr="00642BE9">
        <w:rPr>
          <w:rFonts w:eastAsia="標楷體"/>
        </w:rPr>
        <w:t xml:space="preserve">: </w:t>
      </w:r>
      <w:proofErr w:type="spellStart"/>
      <w:r w:rsidRPr="00642BE9">
        <w:rPr>
          <w:rFonts w:eastAsia="標楷體"/>
        </w:rPr>
        <w:t>Jossey</w:t>
      </w:r>
      <w:proofErr w:type="spellEnd"/>
      <w:r w:rsidRPr="00642BE9">
        <w:rPr>
          <w:rFonts w:eastAsia="標楷體"/>
        </w:rPr>
        <w:t>: Bass.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r w:rsidRPr="00642BE9">
        <w:t>Bushnell, D. S.</w:t>
      </w:r>
      <w:r>
        <w:t>（</w:t>
      </w:r>
      <w:r w:rsidRPr="00642BE9">
        <w:t>1990</w:t>
      </w:r>
      <w:r>
        <w:t>）</w:t>
      </w:r>
      <w:r w:rsidRPr="00642BE9">
        <w:t xml:space="preserve">. Input, Process, Output: A Model for evaluation training. </w:t>
      </w:r>
      <w:r w:rsidRPr="00642BE9">
        <w:rPr>
          <w:i/>
        </w:rPr>
        <w:t>Training and Development Journal</w:t>
      </w:r>
      <w:r w:rsidRPr="00642BE9">
        <w:t xml:space="preserve">, </w:t>
      </w:r>
      <w:r w:rsidRPr="00642BE9">
        <w:rPr>
          <w:i/>
        </w:rPr>
        <w:t>44</w:t>
      </w:r>
      <w:r>
        <w:t>（</w:t>
      </w:r>
      <w:r w:rsidRPr="00642BE9">
        <w:t>3</w:t>
      </w:r>
      <w:r>
        <w:t>）</w:t>
      </w:r>
      <w:r w:rsidRPr="00642BE9">
        <w:t>, 41-43.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Goldstein</w:t>
      </w:r>
      <w:r w:rsidRPr="00642BE9">
        <w:rPr>
          <w:rFonts w:eastAsia="標楷體"/>
        </w:rPr>
        <w:t>，</w:t>
      </w:r>
      <w:r w:rsidRPr="00642BE9">
        <w:rPr>
          <w:rFonts w:eastAsia="標楷體"/>
        </w:rPr>
        <w:t xml:space="preserve">I.L. </w:t>
      </w:r>
      <w:r>
        <w:rPr>
          <w:rFonts w:eastAsia="標楷體"/>
        </w:rPr>
        <w:t>（</w:t>
      </w:r>
      <w:r w:rsidRPr="00642BE9">
        <w:rPr>
          <w:rFonts w:eastAsia="標楷體"/>
        </w:rPr>
        <w:t>1993</w:t>
      </w:r>
      <w:r>
        <w:rPr>
          <w:rFonts w:eastAsia="標楷體"/>
        </w:rPr>
        <w:t>）</w:t>
      </w:r>
      <w:r w:rsidRPr="00642BE9">
        <w:rPr>
          <w:rFonts w:eastAsia="標楷體"/>
        </w:rPr>
        <w:t xml:space="preserve"> </w:t>
      </w:r>
      <w:r w:rsidRPr="00642BE9">
        <w:rPr>
          <w:rFonts w:eastAsia="標楷體"/>
        </w:rPr>
        <w:t>。</w:t>
      </w:r>
      <w:r w:rsidRPr="00642BE9">
        <w:rPr>
          <w:rFonts w:eastAsia="標楷體"/>
          <w:i/>
        </w:rPr>
        <w:t>Training in organizations: Needs assessment</w:t>
      </w:r>
      <w:r w:rsidRPr="00642BE9">
        <w:rPr>
          <w:rFonts w:eastAsia="標楷體"/>
          <w:i/>
        </w:rPr>
        <w:t>，</w:t>
      </w:r>
      <w:r w:rsidRPr="00642BE9">
        <w:rPr>
          <w:rFonts w:eastAsia="標楷體"/>
          <w:i/>
        </w:rPr>
        <w:t>development</w:t>
      </w:r>
      <w:r w:rsidRPr="00642BE9">
        <w:rPr>
          <w:rFonts w:eastAsia="標楷體"/>
          <w:i/>
        </w:rPr>
        <w:t>，</w:t>
      </w:r>
      <w:r w:rsidRPr="00642BE9">
        <w:rPr>
          <w:rFonts w:eastAsia="標楷體"/>
          <w:i/>
        </w:rPr>
        <w:t>and evaluation.</w:t>
      </w:r>
      <w:r w:rsidRPr="00642BE9">
        <w:rPr>
          <w:rFonts w:eastAsia="標楷體"/>
        </w:rPr>
        <w:t xml:space="preserve"> Pacific Grove</w:t>
      </w:r>
      <w:r w:rsidRPr="00642BE9">
        <w:rPr>
          <w:rFonts w:eastAsia="標楷體"/>
        </w:rPr>
        <w:t>，</w:t>
      </w:r>
      <w:r w:rsidRPr="00642BE9">
        <w:rPr>
          <w:rFonts w:eastAsia="標楷體"/>
        </w:rPr>
        <w:t>California: Brook/Cole Publishing Co.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Jackson, J.A.</w:t>
      </w:r>
      <w:r>
        <w:rPr>
          <w:rFonts w:eastAsia="標楷體"/>
        </w:rPr>
        <w:t>（</w:t>
      </w:r>
      <w:r w:rsidRPr="00642BE9">
        <w:rPr>
          <w:rFonts w:eastAsia="標楷體"/>
        </w:rPr>
        <w:t>1986</w:t>
      </w:r>
      <w:r>
        <w:rPr>
          <w:rFonts w:eastAsia="標楷體"/>
        </w:rPr>
        <w:t>）</w:t>
      </w:r>
      <w:r w:rsidRPr="00642BE9">
        <w:rPr>
          <w:rFonts w:eastAsia="標楷體"/>
        </w:rPr>
        <w:t xml:space="preserve">. </w:t>
      </w:r>
      <w:proofErr w:type="gramStart"/>
      <w:r w:rsidRPr="00642BE9">
        <w:rPr>
          <w:rFonts w:eastAsia="標楷體"/>
        </w:rPr>
        <w:t>Migration.</w:t>
      </w:r>
      <w:proofErr w:type="gramEnd"/>
      <w:r w:rsidRPr="00642BE9">
        <w:rPr>
          <w:rFonts w:eastAsia="標楷體"/>
        </w:rPr>
        <w:t xml:space="preserve"> </w:t>
      </w:r>
      <w:smartTag w:uri="urn:schemas-microsoft-com:office:smarttags" w:element="country-region">
        <w:r w:rsidRPr="00642BE9">
          <w:rPr>
            <w:rFonts w:eastAsia="標楷體"/>
          </w:rPr>
          <w:t>Singapore</w:t>
        </w:r>
      </w:smartTag>
      <w:r w:rsidRPr="00642BE9">
        <w:rPr>
          <w:rFonts w:eastAsia="標楷體"/>
        </w:rPr>
        <w:t xml:space="preserve">, Longman </w:t>
      </w:r>
      <w:smartTag w:uri="urn:schemas-microsoft-com:office:smarttags" w:element="place">
        <w:smartTag w:uri="urn:schemas-microsoft-com:office:smarttags" w:element="country-region">
          <w:r w:rsidRPr="00642BE9">
            <w:rPr>
              <w:rFonts w:eastAsia="標楷體"/>
            </w:rPr>
            <w:t>Singapore</w:t>
          </w:r>
        </w:smartTag>
      </w:smartTag>
      <w:r w:rsidRPr="00642BE9">
        <w:rPr>
          <w:rFonts w:eastAsia="標楷體"/>
        </w:rPr>
        <w:t xml:space="preserve"> Publishers</w:t>
      </w:r>
      <w:r>
        <w:rPr>
          <w:rFonts w:eastAsia="標楷體"/>
        </w:rPr>
        <w:t>（</w:t>
      </w:r>
      <w:proofErr w:type="spellStart"/>
      <w:r w:rsidRPr="00642BE9">
        <w:rPr>
          <w:rFonts w:eastAsia="標楷體"/>
        </w:rPr>
        <w:t>Pte</w:t>
      </w:r>
      <w:proofErr w:type="spellEnd"/>
      <w:r>
        <w:rPr>
          <w:rFonts w:eastAsia="標楷體"/>
        </w:rPr>
        <w:t>）</w:t>
      </w:r>
      <w:r w:rsidRPr="00642BE9">
        <w:rPr>
          <w:rFonts w:eastAsia="標楷體"/>
        </w:rPr>
        <w:t>Ltd.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proofErr w:type="spellStart"/>
      <w:r w:rsidRPr="00642BE9">
        <w:rPr>
          <w:rFonts w:eastAsia="標楷體"/>
        </w:rPr>
        <w:t>Jedrziewski</w:t>
      </w:r>
      <w:proofErr w:type="spellEnd"/>
      <w:r w:rsidRPr="00642BE9">
        <w:rPr>
          <w:rFonts w:eastAsia="標楷體"/>
        </w:rPr>
        <w:t>，</w:t>
      </w:r>
      <w:r w:rsidRPr="00642BE9">
        <w:rPr>
          <w:rFonts w:eastAsia="標楷體"/>
        </w:rPr>
        <w:t>D.</w:t>
      </w:r>
      <w:proofErr w:type="gramStart"/>
      <w:r w:rsidRPr="00642BE9">
        <w:rPr>
          <w:rFonts w:eastAsia="標楷體"/>
        </w:rPr>
        <w:t xml:space="preserve">R. </w:t>
      </w:r>
      <w:r>
        <w:rPr>
          <w:rFonts w:eastAsia="標楷體"/>
        </w:rPr>
        <w:t>（</w:t>
      </w:r>
      <w:r w:rsidRPr="00642BE9">
        <w:rPr>
          <w:rFonts w:eastAsia="標楷體"/>
        </w:rPr>
        <w:t>1995</w:t>
      </w:r>
      <w:r>
        <w:rPr>
          <w:rFonts w:eastAsia="標楷體"/>
        </w:rPr>
        <w:t>）</w:t>
      </w:r>
      <w:r w:rsidRPr="00642BE9">
        <w:rPr>
          <w:rFonts w:eastAsia="標楷體"/>
        </w:rPr>
        <w:t>.</w:t>
      </w:r>
      <w:proofErr w:type="gramEnd"/>
      <w:r w:rsidRPr="00642BE9">
        <w:rPr>
          <w:rFonts w:eastAsia="標楷體"/>
        </w:rPr>
        <w:t xml:space="preserve"> Putting methods to the madness of evaluating training </w:t>
      </w:r>
      <w:proofErr w:type="gramStart"/>
      <w:r w:rsidRPr="00642BE9">
        <w:rPr>
          <w:rFonts w:eastAsia="標楷體"/>
        </w:rPr>
        <w:t>effectiveness .</w:t>
      </w:r>
      <w:proofErr w:type="gramEnd"/>
      <w:r w:rsidRPr="00642BE9">
        <w:rPr>
          <w:rFonts w:eastAsia="標楷體"/>
        </w:rPr>
        <w:t xml:space="preserve"> </w:t>
      </w:r>
      <w:r w:rsidRPr="00642BE9">
        <w:rPr>
          <w:rFonts w:eastAsia="標楷體"/>
          <w:i/>
        </w:rPr>
        <w:t>Performance and Instruction</w:t>
      </w:r>
      <w:r w:rsidRPr="00642BE9">
        <w:rPr>
          <w:rFonts w:eastAsia="標楷體"/>
        </w:rPr>
        <w:t>，</w:t>
      </w:r>
      <w:r w:rsidRPr="00642BE9">
        <w:rPr>
          <w:rFonts w:eastAsia="標楷體"/>
        </w:rPr>
        <w:t>34</w:t>
      </w:r>
      <w:r>
        <w:rPr>
          <w:rFonts w:eastAsia="標楷體"/>
        </w:rPr>
        <w:t>（</w:t>
      </w:r>
      <w:r w:rsidRPr="00642BE9">
        <w:rPr>
          <w:rFonts w:eastAsia="標楷體"/>
        </w:rPr>
        <w:t>1</w:t>
      </w:r>
      <w:r>
        <w:rPr>
          <w:rFonts w:eastAsia="標楷體"/>
        </w:rPr>
        <w:t>）</w:t>
      </w:r>
      <w:r w:rsidRPr="00642BE9">
        <w:rPr>
          <w:rFonts w:eastAsia="標楷體"/>
        </w:rPr>
        <w:t>，</w:t>
      </w:r>
      <w:r w:rsidRPr="00642BE9">
        <w:rPr>
          <w:rFonts w:eastAsia="標楷體"/>
        </w:rPr>
        <w:t>23-31.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r w:rsidRPr="00642BE9">
        <w:t>Kaufman, P., &amp; Keller, J. M.</w:t>
      </w:r>
      <w:r w:rsidRPr="00642BE9">
        <w:t>（</w:t>
      </w:r>
      <w:r w:rsidRPr="00642BE9">
        <w:t>1994</w:t>
      </w:r>
      <w:r w:rsidRPr="00642BE9">
        <w:t>）</w:t>
      </w:r>
      <w:r w:rsidRPr="00642BE9">
        <w:t xml:space="preserve">. </w:t>
      </w:r>
      <w:proofErr w:type="gramStart"/>
      <w:r w:rsidRPr="00642BE9">
        <w:t>Levels of evaluation model.</w:t>
      </w:r>
      <w:proofErr w:type="gramEnd"/>
      <w:r w:rsidRPr="00642BE9">
        <w:t xml:space="preserve"> </w:t>
      </w:r>
      <w:r w:rsidRPr="00642BE9">
        <w:rPr>
          <w:i/>
        </w:rPr>
        <w:t>Human Resource Development Quarterly</w:t>
      </w:r>
      <w:r w:rsidRPr="00642BE9">
        <w:t>,</w:t>
      </w:r>
      <w:r w:rsidRPr="00642BE9">
        <w:rPr>
          <w:i/>
        </w:rPr>
        <w:t xml:space="preserve"> 7</w:t>
      </w:r>
      <w:r w:rsidRPr="00642BE9">
        <w:t>, 5-21.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r w:rsidRPr="00642BE9">
        <w:t>Kirkpatrick, D.</w:t>
      </w:r>
      <w:proofErr w:type="gramStart"/>
      <w:r w:rsidRPr="00642BE9">
        <w:t xml:space="preserve">L. </w:t>
      </w:r>
      <w:r>
        <w:t>（</w:t>
      </w:r>
      <w:r w:rsidRPr="00642BE9">
        <w:t>1959</w:t>
      </w:r>
      <w:r>
        <w:t>）</w:t>
      </w:r>
      <w:r w:rsidRPr="00642BE9">
        <w:t>.</w:t>
      </w:r>
      <w:proofErr w:type="gramEnd"/>
      <w:r w:rsidRPr="00642BE9">
        <w:t xml:space="preserve"> </w:t>
      </w:r>
      <w:proofErr w:type="gramStart"/>
      <w:r w:rsidRPr="00642BE9">
        <w:t>Techniques for evaluating training programs.</w:t>
      </w:r>
      <w:proofErr w:type="gramEnd"/>
      <w:r w:rsidRPr="00642BE9">
        <w:t xml:space="preserve"> </w:t>
      </w:r>
      <w:r w:rsidRPr="00642BE9">
        <w:rPr>
          <w:i/>
        </w:rPr>
        <w:t>Journal of the American Society of Training Directors</w:t>
      </w:r>
      <w:r w:rsidRPr="00642BE9">
        <w:t xml:space="preserve">, </w:t>
      </w:r>
      <w:r w:rsidRPr="00642BE9">
        <w:rPr>
          <w:i/>
        </w:rPr>
        <w:t>13</w:t>
      </w:r>
      <w:r w:rsidRPr="00642BE9">
        <w:t>, 3-9.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Kirkpatrick, D.</w:t>
      </w:r>
      <w:proofErr w:type="gramStart"/>
      <w:r w:rsidRPr="00642BE9">
        <w:rPr>
          <w:rFonts w:eastAsia="標楷體"/>
        </w:rPr>
        <w:t xml:space="preserve">L. </w:t>
      </w:r>
      <w:r>
        <w:rPr>
          <w:rFonts w:eastAsia="標楷體"/>
        </w:rPr>
        <w:t>（</w:t>
      </w:r>
      <w:r w:rsidRPr="00642BE9">
        <w:rPr>
          <w:rFonts w:eastAsia="標楷體"/>
        </w:rPr>
        <w:t>1979</w:t>
      </w:r>
      <w:r>
        <w:rPr>
          <w:rFonts w:eastAsia="標楷體"/>
        </w:rPr>
        <w:t>）</w:t>
      </w:r>
      <w:r w:rsidRPr="00642BE9">
        <w:rPr>
          <w:rFonts w:eastAsia="標楷體"/>
        </w:rPr>
        <w:t>.</w:t>
      </w:r>
      <w:proofErr w:type="gramEnd"/>
      <w:r w:rsidRPr="00642BE9">
        <w:rPr>
          <w:rFonts w:eastAsia="標楷體"/>
        </w:rPr>
        <w:t xml:space="preserve"> Technique for Evaluation Training Programs, </w:t>
      </w:r>
      <w:r w:rsidRPr="00642BE9">
        <w:rPr>
          <w:rFonts w:eastAsia="標楷體"/>
          <w:i/>
        </w:rPr>
        <w:t xml:space="preserve">Training and </w:t>
      </w:r>
      <w:r w:rsidRPr="00642BE9">
        <w:rPr>
          <w:rFonts w:eastAsia="標楷體"/>
          <w:i/>
        </w:rPr>
        <w:lastRenderedPageBreak/>
        <w:t>Development Journal</w:t>
      </w:r>
      <w:r w:rsidRPr="00642BE9">
        <w:rPr>
          <w:rFonts w:eastAsia="標楷體"/>
        </w:rPr>
        <w:t xml:space="preserve">, </w:t>
      </w:r>
      <w:r w:rsidRPr="00642BE9">
        <w:rPr>
          <w:rFonts w:eastAsia="標楷體"/>
          <w:i/>
        </w:rPr>
        <w:t>June</w:t>
      </w:r>
      <w:r w:rsidRPr="00642BE9">
        <w:rPr>
          <w:rFonts w:eastAsia="標楷體"/>
        </w:rPr>
        <w:t>, 178-192.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proofErr w:type="spellStart"/>
      <w:proofErr w:type="gramStart"/>
      <w:r w:rsidRPr="00642BE9">
        <w:t>Kraiger</w:t>
      </w:r>
      <w:proofErr w:type="spellEnd"/>
      <w:r w:rsidRPr="00642BE9">
        <w:t xml:space="preserve">, K., Ford, J. K., &amp; Salas, E. </w:t>
      </w:r>
      <w:r>
        <w:t>（</w:t>
      </w:r>
      <w:r w:rsidRPr="00642BE9">
        <w:t>1993</w:t>
      </w:r>
      <w:r>
        <w:t>）</w:t>
      </w:r>
      <w:r w:rsidRPr="00642BE9">
        <w:t>.</w:t>
      </w:r>
      <w:proofErr w:type="gramEnd"/>
      <w:r w:rsidRPr="00642BE9">
        <w:t xml:space="preserve"> </w:t>
      </w:r>
      <w:proofErr w:type="gramStart"/>
      <w:r w:rsidRPr="00642BE9">
        <w:t xml:space="preserve">Application of cognitive, skill-based, and affective theories of learning </w:t>
      </w:r>
      <w:proofErr w:type="spellStart"/>
      <w:r w:rsidRPr="00642BE9">
        <w:t>ootcomes</w:t>
      </w:r>
      <w:proofErr w:type="spellEnd"/>
      <w:r w:rsidRPr="00642BE9">
        <w:t xml:space="preserve"> to new methods of training evaluation.</w:t>
      </w:r>
      <w:proofErr w:type="gramEnd"/>
      <w:r w:rsidRPr="00642BE9">
        <w:t xml:space="preserve"> </w:t>
      </w:r>
      <w:r w:rsidRPr="00642BE9">
        <w:rPr>
          <w:i/>
        </w:rPr>
        <w:t>Journal of Applied Psychology</w:t>
      </w:r>
      <w:r w:rsidRPr="00642BE9">
        <w:t>,</w:t>
      </w:r>
      <w:r w:rsidRPr="00642BE9">
        <w:rPr>
          <w:i/>
        </w:rPr>
        <w:t xml:space="preserve"> 78</w:t>
      </w:r>
      <w:r w:rsidRPr="00642BE9">
        <w:t>, 311-328.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  <w:lang w:val="de-DE"/>
        </w:rPr>
        <w:t xml:space="preserve">Marsick, V. J., </w:t>
      </w:r>
      <w:proofErr w:type="gramStart"/>
      <w:r w:rsidRPr="00642BE9">
        <w:rPr>
          <w:rFonts w:eastAsia="標楷體"/>
          <w:lang w:val="de-DE"/>
        </w:rPr>
        <w:t>＆</w:t>
      </w:r>
      <w:proofErr w:type="gramEnd"/>
      <w:r w:rsidRPr="00642BE9">
        <w:rPr>
          <w:rFonts w:eastAsia="標楷體"/>
          <w:lang w:val="de-DE"/>
        </w:rPr>
        <w:t xml:space="preserve"> Watkins, K. E. </w:t>
      </w:r>
      <w:r>
        <w:rPr>
          <w:rFonts w:eastAsia="標楷體"/>
          <w:lang w:val="de-DE"/>
        </w:rPr>
        <w:t>（</w:t>
      </w:r>
      <w:r w:rsidRPr="00642BE9">
        <w:rPr>
          <w:rFonts w:eastAsia="標楷體"/>
          <w:lang w:val="de-DE"/>
        </w:rPr>
        <w:t>1994</w:t>
      </w:r>
      <w:r>
        <w:rPr>
          <w:rFonts w:eastAsia="標楷體"/>
          <w:lang w:val="de-DE"/>
        </w:rPr>
        <w:t>）</w:t>
      </w:r>
      <w:r w:rsidRPr="00642BE9">
        <w:rPr>
          <w:rFonts w:eastAsia="標楷體"/>
          <w:lang w:val="de-DE"/>
        </w:rPr>
        <w:t xml:space="preserve">. </w:t>
      </w:r>
      <w:r w:rsidRPr="00642BE9">
        <w:rPr>
          <w:rFonts w:eastAsia="標楷體"/>
        </w:rPr>
        <w:t xml:space="preserve">The learning organization: An integrative vision for HRD. </w:t>
      </w:r>
      <w:r w:rsidRPr="00642BE9">
        <w:rPr>
          <w:rFonts w:eastAsia="標楷體"/>
          <w:i/>
        </w:rPr>
        <w:t>Human Resource Development Quarterly</w:t>
      </w:r>
      <w:r w:rsidRPr="00642BE9">
        <w:rPr>
          <w:rFonts w:eastAsia="標楷體"/>
        </w:rPr>
        <w:t xml:space="preserve">, </w:t>
      </w:r>
      <w:r w:rsidRPr="00642BE9">
        <w:rPr>
          <w:rFonts w:eastAsia="標楷體"/>
          <w:i/>
        </w:rPr>
        <w:t>5</w:t>
      </w:r>
      <w:r w:rsidRPr="00642BE9">
        <w:rPr>
          <w:rFonts w:eastAsia="標楷體"/>
        </w:rPr>
        <w:t>, 353-360.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proofErr w:type="spellStart"/>
      <w:proofErr w:type="gramStart"/>
      <w:r w:rsidRPr="00642BE9">
        <w:t>Nickols</w:t>
      </w:r>
      <w:proofErr w:type="spellEnd"/>
      <w:r w:rsidRPr="00642BE9">
        <w:t xml:space="preserve">, F. W. </w:t>
      </w:r>
      <w:r>
        <w:t>（</w:t>
      </w:r>
      <w:r w:rsidRPr="00642BE9">
        <w:t>2005</w:t>
      </w:r>
      <w:r>
        <w:t>）</w:t>
      </w:r>
      <w:r w:rsidRPr="00642BE9">
        <w:t>.</w:t>
      </w:r>
      <w:proofErr w:type="gramEnd"/>
      <w:r w:rsidRPr="00642BE9">
        <w:t xml:space="preserve"> Why a stakeholder approach to evaluating training. </w:t>
      </w:r>
      <w:r w:rsidRPr="00642BE9">
        <w:rPr>
          <w:i/>
        </w:rPr>
        <w:t xml:space="preserve">Advances in </w:t>
      </w:r>
      <w:proofErr w:type="spellStart"/>
      <w:r w:rsidRPr="00642BE9">
        <w:rPr>
          <w:i/>
        </w:rPr>
        <w:t>Developng</w:t>
      </w:r>
      <w:proofErr w:type="spellEnd"/>
      <w:r w:rsidRPr="00642BE9">
        <w:rPr>
          <w:i/>
        </w:rPr>
        <w:t xml:space="preserve"> Human Resources</w:t>
      </w:r>
      <w:r w:rsidRPr="00642BE9">
        <w:t>, 7</w:t>
      </w:r>
      <w:r>
        <w:t>（</w:t>
      </w:r>
      <w:r w:rsidRPr="00642BE9">
        <w:t>1</w:t>
      </w:r>
      <w:r>
        <w:t>）</w:t>
      </w:r>
      <w:r w:rsidRPr="00642BE9">
        <w:t>, 121-134.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</w:pPr>
      <w:proofErr w:type="spellStart"/>
      <w:proofErr w:type="gramStart"/>
      <w:r w:rsidRPr="00642BE9">
        <w:t>Noe</w:t>
      </w:r>
      <w:proofErr w:type="spellEnd"/>
      <w:r w:rsidRPr="00642BE9">
        <w:t xml:space="preserve">, A. R. </w:t>
      </w:r>
      <w:r>
        <w:t>（</w:t>
      </w:r>
      <w:r w:rsidRPr="00642BE9">
        <w:t>2002</w:t>
      </w:r>
      <w:r>
        <w:t>）</w:t>
      </w:r>
      <w:r w:rsidRPr="00642BE9">
        <w:t>.</w:t>
      </w:r>
      <w:proofErr w:type="gramEnd"/>
      <w:r w:rsidRPr="00642BE9">
        <w:t xml:space="preserve"> </w:t>
      </w:r>
      <w:r w:rsidRPr="00642BE9">
        <w:rPr>
          <w:i/>
        </w:rPr>
        <w:t>Employment Training &amp; Development</w:t>
      </w:r>
      <w:r w:rsidRPr="00642BE9">
        <w:t xml:space="preserve"> </w:t>
      </w:r>
      <w:r>
        <w:t>（</w:t>
      </w:r>
      <w:r w:rsidRPr="00642BE9">
        <w:t xml:space="preserve">2nd </w:t>
      </w:r>
      <w:proofErr w:type="spellStart"/>
      <w:r w:rsidRPr="00642BE9">
        <w:t>ed</w:t>
      </w:r>
      <w:proofErr w:type="spellEnd"/>
      <w:r>
        <w:t>）</w:t>
      </w:r>
      <w:r w:rsidRPr="00642BE9">
        <w:t>. NY: McGraw-Hill.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Phillips, J. J.</w:t>
      </w:r>
      <w:r>
        <w:rPr>
          <w:rFonts w:eastAsia="標楷體"/>
        </w:rPr>
        <w:t>（</w:t>
      </w:r>
      <w:r w:rsidRPr="00642BE9">
        <w:rPr>
          <w:rFonts w:eastAsia="標楷體"/>
        </w:rPr>
        <w:t>1983</w:t>
      </w:r>
      <w:r>
        <w:rPr>
          <w:rFonts w:eastAsia="標楷體"/>
        </w:rPr>
        <w:t>）</w:t>
      </w:r>
      <w:r w:rsidRPr="00642BE9">
        <w:rPr>
          <w:rFonts w:eastAsia="標楷體"/>
        </w:rPr>
        <w:t xml:space="preserve">. </w:t>
      </w:r>
      <w:proofErr w:type="gramStart"/>
      <w:r w:rsidRPr="00642BE9">
        <w:rPr>
          <w:rFonts w:eastAsia="標楷體"/>
          <w:i/>
        </w:rPr>
        <w:t xml:space="preserve">Handbook of Training Evaluation and </w:t>
      </w:r>
      <w:proofErr w:type="spellStart"/>
      <w:r w:rsidRPr="00642BE9">
        <w:rPr>
          <w:rFonts w:eastAsia="標楷體"/>
          <w:i/>
        </w:rPr>
        <w:t>MKeasurement</w:t>
      </w:r>
      <w:proofErr w:type="spellEnd"/>
      <w:r w:rsidRPr="00642BE9">
        <w:rPr>
          <w:rFonts w:eastAsia="標楷體"/>
          <w:i/>
        </w:rPr>
        <w:t xml:space="preserve"> Methods</w:t>
      </w:r>
      <w:r w:rsidRPr="00642BE9">
        <w:rPr>
          <w:rFonts w:eastAsia="標楷體"/>
        </w:rPr>
        <w:t>.</w:t>
      </w:r>
      <w:proofErr w:type="gramEnd"/>
      <w:r w:rsidRPr="00642BE9">
        <w:rPr>
          <w:rFonts w:eastAsia="標楷體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42BE9">
            <w:rPr>
              <w:rFonts w:eastAsia="標楷體"/>
            </w:rPr>
            <w:t>Houston</w:t>
          </w:r>
        </w:smartTag>
        <w:r w:rsidRPr="00642BE9">
          <w:rPr>
            <w:rFonts w:eastAsia="標楷體"/>
          </w:rPr>
          <w:t xml:space="preserve">, </w:t>
        </w:r>
        <w:smartTag w:uri="urn:schemas-microsoft-com:office:smarttags" w:element="State">
          <w:r w:rsidRPr="00642BE9">
            <w:rPr>
              <w:rFonts w:eastAsia="標楷體"/>
            </w:rPr>
            <w:t>TX</w:t>
          </w:r>
        </w:smartTag>
      </w:smartTag>
      <w:r w:rsidRPr="00642BE9">
        <w:rPr>
          <w:rFonts w:eastAsia="標楷體"/>
        </w:rPr>
        <w:t xml:space="preserve">: Gulf Publishing Company. 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</w:rPr>
        <w:t>Roberts, A.</w:t>
      </w:r>
      <w:r>
        <w:rPr>
          <w:rFonts w:eastAsia="標楷體"/>
        </w:rPr>
        <w:t>（</w:t>
      </w:r>
      <w:r w:rsidRPr="00642BE9">
        <w:rPr>
          <w:rFonts w:eastAsia="標楷體"/>
        </w:rPr>
        <w:t>1990</w:t>
      </w:r>
      <w:r>
        <w:rPr>
          <w:rFonts w:eastAsia="標楷體"/>
        </w:rPr>
        <w:t>）</w:t>
      </w:r>
      <w:r w:rsidRPr="00642BE9">
        <w:rPr>
          <w:rFonts w:eastAsia="標楷體"/>
        </w:rPr>
        <w:t xml:space="preserve">. </w:t>
      </w:r>
      <w:proofErr w:type="gramStart"/>
      <w:r w:rsidRPr="00642BE9">
        <w:rPr>
          <w:rFonts w:eastAsia="標楷體"/>
        </w:rPr>
        <w:t xml:space="preserve">Evaluating Training </w:t>
      </w:r>
      <w:proofErr w:type="spellStart"/>
      <w:r w:rsidRPr="00642BE9">
        <w:rPr>
          <w:rFonts w:eastAsia="標楷體"/>
        </w:rPr>
        <w:t>Programmes</w:t>
      </w:r>
      <w:proofErr w:type="spellEnd"/>
      <w:r w:rsidRPr="00642BE9">
        <w:rPr>
          <w:rFonts w:eastAsia="標楷體"/>
        </w:rPr>
        <w:t>.</w:t>
      </w:r>
      <w:proofErr w:type="gramEnd"/>
      <w:r w:rsidRPr="00642BE9">
        <w:rPr>
          <w:rFonts w:eastAsia="標楷體"/>
        </w:rPr>
        <w:t xml:space="preserve"> </w:t>
      </w:r>
      <w:r w:rsidRPr="00642BE9">
        <w:rPr>
          <w:rFonts w:eastAsia="標楷體"/>
          <w:i/>
        </w:rPr>
        <w:t>International Trade Forum</w:t>
      </w:r>
      <w:r w:rsidRPr="00642BE9">
        <w:rPr>
          <w:rFonts w:eastAsia="標楷體"/>
        </w:rPr>
        <w:t xml:space="preserve">, </w:t>
      </w:r>
      <w:r w:rsidRPr="00642BE9">
        <w:rPr>
          <w:rFonts w:eastAsia="標楷體"/>
          <w:i/>
        </w:rPr>
        <w:t>26</w:t>
      </w:r>
      <w:r>
        <w:rPr>
          <w:rFonts w:eastAsia="標楷體"/>
        </w:rPr>
        <w:t>（</w:t>
      </w:r>
      <w:r w:rsidRPr="00642BE9">
        <w:rPr>
          <w:rFonts w:eastAsia="標楷體"/>
        </w:rPr>
        <w:t>4</w:t>
      </w:r>
      <w:r>
        <w:rPr>
          <w:rFonts w:eastAsia="標楷體"/>
        </w:rPr>
        <w:t>）</w:t>
      </w:r>
      <w:r w:rsidRPr="00642BE9">
        <w:rPr>
          <w:rFonts w:eastAsia="標楷體"/>
        </w:rPr>
        <w:t xml:space="preserve">, 18-23. </w:t>
      </w:r>
    </w:p>
    <w:p w:rsidR="00C16EAD" w:rsidRPr="00642BE9" w:rsidRDefault="00C16EAD" w:rsidP="00825E9E">
      <w:pPr>
        <w:spacing w:afterLines="50"/>
        <w:ind w:left="480" w:hangingChars="200" w:hanging="480"/>
        <w:jc w:val="both"/>
        <w:rPr>
          <w:rFonts w:eastAsia="標楷體"/>
        </w:rPr>
      </w:pPr>
      <w:r w:rsidRPr="00642BE9">
        <w:rPr>
          <w:rFonts w:eastAsia="標楷體"/>
          <w:lang w:val="de-DE"/>
        </w:rPr>
        <w:t xml:space="preserve">Rummler, G.A., &amp; Brache, A.P. </w:t>
      </w:r>
      <w:r>
        <w:rPr>
          <w:rFonts w:eastAsia="標楷體"/>
          <w:lang w:val="de-DE"/>
        </w:rPr>
        <w:t>（</w:t>
      </w:r>
      <w:r w:rsidRPr="00642BE9">
        <w:rPr>
          <w:rFonts w:eastAsia="標楷體"/>
          <w:lang w:val="de-DE"/>
        </w:rPr>
        <w:t>1988</w:t>
      </w:r>
      <w:r>
        <w:rPr>
          <w:rFonts w:eastAsia="標楷體"/>
          <w:lang w:val="de-DE"/>
        </w:rPr>
        <w:t>）</w:t>
      </w:r>
      <w:r w:rsidRPr="00642BE9">
        <w:rPr>
          <w:rFonts w:eastAsia="標楷體"/>
          <w:lang w:val="de-DE"/>
        </w:rPr>
        <w:t xml:space="preserve">. </w:t>
      </w:r>
      <w:proofErr w:type="gramStart"/>
      <w:r w:rsidRPr="00642BE9">
        <w:rPr>
          <w:rFonts w:eastAsia="標楷體"/>
        </w:rPr>
        <w:t>The Systems View of Human Performance.</w:t>
      </w:r>
      <w:proofErr w:type="gramEnd"/>
      <w:r w:rsidRPr="00642BE9">
        <w:rPr>
          <w:rFonts w:eastAsia="標楷體"/>
        </w:rPr>
        <w:t xml:space="preserve"> </w:t>
      </w:r>
      <w:r w:rsidRPr="00642BE9">
        <w:rPr>
          <w:rFonts w:eastAsia="標楷體"/>
          <w:i/>
        </w:rPr>
        <w:t>Training</w:t>
      </w:r>
      <w:r w:rsidRPr="00642BE9">
        <w:rPr>
          <w:rFonts w:eastAsia="標楷體"/>
        </w:rPr>
        <w:t xml:space="preserve">, </w:t>
      </w:r>
      <w:r w:rsidRPr="00642BE9">
        <w:rPr>
          <w:rFonts w:eastAsia="標楷體"/>
          <w:i/>
        </w:rPr>
        <w:t>25</w:t>
      </w:r>
      <w:r>
        <w:rPr>
          <w:rFonts w:eastAsia="標楷體"/>
        </w:rPr>
        <w:t>（</w:t>
      </w:r>
      <w:r w:rsidRPr="00642BE9">
        <w:rPr>
          <w:rFonts w:eastAsia="標楷體"/>
        </w:rPr>
        <w:t>9</w:t>
      </w:r>
      <w:r>
        <w:rPr>
          <w:rFonts w:eastAsia="標楷體"/>
        </w:rPr>
        <w:t>）</w:t>
      </w:r>
      <w:r w:rsidRPr="00642BE9">
        <w:rPr>
          <w:rFonts w:eastAsia="標楷體"/>
        </w:rPr>
        <w:t>, 45-53.</w:t>
      </w:r>
    </w:p>
    <w:p w:rsidR="00C16EAD" w:rsidRPr="00642BE9" w:rsidRDefault="00C16EAD" w:rsidP="00825E9E">
      <w:pPr>
        <w:spacing w:afterLines="50"/>
        <w:jc w:val="both"/>
      </w:pPr>
      <w:proofErr w:type="spellStart"/>
      <w:proofErr w:type="gramStart"/>
      <w:r w:rsidRPr="00642BE9">
        <w:t>Stufflebeam</w:t>
      </w:r>
      <w:proofErr w:type="spellEnd"/>
      <w:r w:rsidRPr="00642BE9">
        <w:t xml:space="preserve">, D. L. </w:t>
      </w:r>
      <w:r>
        <w:t>（</w:t>
      </w:r>
      <w:r w:rsidRPr="00642BE9">
        <w:t>1974</w:t>
      </w:r>
      <w:r>
        <w:t>）</w:t>
      </w:r>
      <w:r w:rsidRPr="00642BE9">
        <w:t>.</w:t>
      </w:r>
      <w:proofErr w:type="gramEnd"/>
      <w:r w:rsidRPr="00642BE9">
        <w:t xml:space="preserve"> </w:t>
      </w:r>
      <w:proofErr w:type="gramStart"/>
      <w:r w:rsidRPr="00642BE9">
        <w:t>The CIPP model for program evaluation.</w:t>
      </w:r>
      <w:proofErr w:type="gramEnd"/>
      <w:r w:rsidRPr="00642BE9">
        <w:t xml:space="preserve"> In G. F. </w:t>
      </w:r>
      <w:proofErr w:type="spellStart"/>
      <w:r w:rsidRPr="00642BE9">
        <w:t>Madaus</w:t>
      </w:r>
      <w:proofErr w:type="spellEnd"/>
      <w:r w:rsidRPr="00642BE9">
        <w:t xml:space="preserve">, M. S. </w:t>
      </w:r>
      <w:proofErr w:type="spellStart"/>
      <w:r w:rsidRPr="00642BE9">
        <w:t>Scriven</w:t>
      </w:r>
      <w:proofErr w:type="spellEnd"/>
      <w:r w:rsidRPr="00642BE9">
        <w:t xml:space="preserve">, &amp; D. L. </w:t>
      </w:r>
      <w:proofErr w:type="spellStart"/>
      <w:r w:rsidRPr="00642BE9">
        <w:t>Stufflebeam</w:t>
      </w:r>
      <w:proofErr w:type="spellEnd"/>
      <w:r w:rsidRPr="00642BE9">
        <w:t xml:space="preserve">., </w:t>
      </w:r>
      <w:r w:rsidRPr="00642BE9">
        <w:rPr>
          <w:i/>
        </w:rPr>
        <w:t>Evaluation models: Viewpoint on educational and human services evaluation</w:t>
      </w:r>
      <w:r w:rsidRPr="00642BE9">
        <w:t xml:space="preserve"> </w:t>
      </w:r>
      <w:r>
        <w:t>（</w:t>
      </w:r>
      <w:r w:rsidRPr="00642BE9">
        <w:t>pp117-141</w:t>
      </w:r>
      <w:r>
        <w:t>）</w:t>
      </w:r>
      <w:r w:rsidRPr="00642BE9">
        <w:t xml:space="preserve">. </w:t>
      </w:r>
      <w:proofErr w:type="spellStart"/>
      <w:proofErr w:type="gramStart"/>
      <w:r w:rsidRPr="00642BE9">
        <w:t>Kluwer-Nijhoff</w:t>
      </w:r>
      <w:proofErr w:type="spellEnd"/>
      <w:r w:rsidRPr="00642BE9">
        <w:t xml:space="preserve"> Publishing.</w:t>
      </w:r>
      <w:proofErr w:type="gramEnd"/>
    </w:p>
    <w:p w:rsidR="00C16EAD" w:rsidRPr="00C16EAD" w:rsidRDefault="00C16EAD"/>
    <w:sectPr w:rsidR="00C16EAD" w:rsidRPr="00C16EAD" w:rsidSect="009938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67" w:rsidRDefault="00E96D67" w:rsidP="003414BF">
      <w:r>
        <w:separator/>
      </w:r>
    </w:p>
  </w:endnote>
  <w:endnote w:type="continuationSeparator" w:id="0">
    <w:p w:rsidR="00E96D67" w:rsidRDefault="00E96D67" w:rsidP="00341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844"/>
      <w:docPartObj>
        <w:docPartGallery w:val="Page Numbers (Bottom of Page)"/>
        <w:docPartUnique/>
      </w:docPartObj>
    </w:sdtPr>
    <w:sdtContent>
      <w:p w:rsidR="003414BF" w:rsidRDefault="004D0527">
        <w:pPr>
          <w:pStyle w:val="ae"/>
          <w:jc w:val="center"/>
        </w:pPr>
        <w:fldSimple w:instr=" PAGE   \* MERGEFORMAT ">
          <w:r w:rsidR="00825E9E" w:rsidRPr="00825E9E">
            <w:rPr>
              <w:noProof/>
              <w:lang w:val="zh-TW"/>
            </w:rPr>
            <w:t>7</w:t>
          </w:r>
        </w:fldSimple>
      </w:p>
    </w:sdtContent>
  </w:sdt>
  <w:p w:rsidR="003414BF" w:rsidRDefault="003414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67" w:rsidRDefault="00E96D67" w:rsidP="003414BF">
      <w:r>
        <w:separator/>
      </w:r>
    </w:p>
  </w:footnote>
  <w:footnote w:type="continuationSeparator" w:id="0">
    <w:p w:rsidR="00E96D67" w:rsidRDefault="00E96D67" w:rsidP="00341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1EA"/>
    <w:multiLevelType w:val="hybridMultilevel"/>
    <w:tmpl w:val="C9D0D18E"/>
    <w:lvl w:ilvl="0" w:tplc="32BA9502">
      <w:start w:val="1"/>
      <w:numFmt w:val="taiwaneseCountingThousand"/>
      <w:pStyle w:val="b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ACB57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7014E2A"/>
    <w:multiLevelType w:val="hybridMultilevel"/>
    <w:tmpl w:val="0F9C5776"/>
    <w:lvl w:ilvl="0" w:tplc="A52E7B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1EB10A">
      <w:start w:val="1"/>
      <w:numFmt w:val="decimal"/>
      <w:lvlText w:val="（%2）"/>
      <w:lvlJc w:val="left"/>
      <w:pPr>
        <w:tabs>
          <w:tab w:val="num" w:pos="840"/>
        </w:tabs>
        <w:ind w:left="840" w:hanging="360"/>
      </w:pPr>
      <w:rPr>
        <w:rFonts w:hint="eastAsia"/>
        <w:b w:val="0"/>
        <w:i w:val="0"/>
        <w:color w:val="auto"/>
      </w:rPr>
    </w:lvl>
    <w:lvl w:ilvl="2" w:tplc="CFDE035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C9A17B0"/>
    <w:multiLevelType w:val="hybridMultilevel"/>
    <w:tmpl w:val="80EC7708"/>
    <w:lvl w:ilvl="0" w:tplc="53463F8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AB72B32"/>
    <w:multiLevelType w:val="hybridMultilevel"/>
    <w:tmpl w:val="96140AB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352"/>
    <w:rsid w:val="002B0822"/>
    <w:rsid w:val="003414BF"/>
    <w:rsid w:val="004B6352"/>
    <w:rsid w:val="004D0527"/>
    <w:rsid w:val="00825E9E"/>
    <w:rsid w:val="00912563"/>
    <w:rsid w:val="00993852"/>
    <w:rsid w:val="009E19C9"/>
    <w:rsid w:val="00AD2E0A"/>
    <w:rsid w:val="00B34196"/>
    <w:rsid w:val="00B75FCC"/>
    <w:rsid w:val="00C16EAD"/>
    <w:rsid w:val="00DF6CDB"/>
    <w:rsid w:val="00E96D67"/>
    <w:rsid w:val="00EB25A2"/>
    <w:rsid w:val="00EC7646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b"/>
    <w:basedOn w:val="a"/>
    <w:rsid w:val="004B6352"/>
    <w:pPr>
      <w:numPr>
        <w:numId w:val="1"/>
      </w:numPr>
      <w:snapToGrid w:val="0"/>
      <w:spacing w:afterLines="50"/>
      <w:jc w:val="both"/>
    </w:pPr>
    <w:rPr>
      <w:rFonts w:eastAsia="標楷體"/>
      <w:b/>
      <w:sz w:val="28"/>
      <w:szCs w:val="28"/>
    </w:rPr>
  </w:style>
  <w:style w:type="paragraph" w:customStyle="1" w:styleId="c">
    <w:name w:val="c"/>
    <w:basedOn w:val="a"/>
    <w:link w:val="c0"/>
    <w:rsid w:val="004B6352"/>
    <w:pPr>
      <w:spacing w:beforeLines="50"/>
      <w:jc w:val="both"/>
    </w:pPr>
    <w:rPr>
      <w:rFonts w:eastAsia="標楷體"/>
    </w:rPr>
  </w:style>
  <w:style w:type="character" w:customStyle="1" w:styleId="c0">
    <w:name w:val="c 字元"/>
    <w:basedOn w:val="a0"/>
    <w:link w:val="c"/>
    <w:rsid w:val="004B6352"/>
    <w:rPr>
      <w:rFonts w:ascii="Times New Roman" w:eastAsia="標楷體" w:hAnsi="Times New Roman" w:cs="Times New Roman"/>
      <w:szCs w:val="24"/>
    </w:rPr>
  </w:style>
  <w:style w:type="paragraph" w:customStyle="1" w:styleId="a3">
    <w:name w:val="內文 + 標楷體"/>
    <w:aliases w:val="套用前:  9 pt"/>
    <w:basedOn w:val="c"/>
    <w:rsid w:val="004B6352"/>
  </w:style>
  <w:style w:type="paragraph" w:styleId="a4">
    <w:name w:val="Plain Text"/>
    <w:basedOn w:val="a"/>
    <w:link w:val="a5"/>
    <w:rsid w:val="004B6352"/>
    <w:rPr>
      <w:rFonts w:ascii="細明體" w:eastAsia="細明體" w:hAnsi="Courier New"/>
      <w:sz w:val="28"/>
      <w:szCs w:val="20"/>
    </w:rPr>
  </w:style>
  <w:style w:type="character" w:customStyle="1" w:styleId="a5">
    <w:name w:val="純文字 字元"/>
    <w:basedOn w:val="a0"/>
    <w:link w:val="a4"/>
    <w:rsid w:val="004B6352"/>
    <w:rPr>
      <w:rFonts w:ascii="細明體" w:eastAsia="細明體" w:hAnsi="Courier New" w:cs="Times New Roman"/>
      <w:sz w:val="28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3414BF"/>
    <w:pPr>
      <w:snapToGrid w:val="0"/>
    </w:pPr>
  </w:style>
  <w:style w:type="character" w:customStyle="1" w:styleId="a7">
    <w:name w:val="章節附註文字 字元"/>
    <w:basedOn w:val="a0"/>
    <w:link w:val="a6"/>
    <w:uiPriority w:val="99"/>
    <w:semiHidden/>
    <w:rsid w:val="003414BF"/>
    <w:rPr>
      <w:rFonts w:ascii="Times New Roman" w:eastAsia="新細明體" w:hAnsi="Times New Roman" w:cs="Times New Roman"/>
      <w:szCs w:val="24"/>
    </w:rPr>
  </w:style>
  <w:style w:type="character" w:styleId="a8">
    <w:name w:val="endnote reference"/>
    <w:basedOn w:val="a0"/>
    <w:uiPriority w:val="99"/>
    <w:semiHidden/>
    <w:unhideWhenUsed/>
    <w:rsid w:val="003414B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414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3414BF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14BF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34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3414BF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4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414BF"/>
    <w:rPr>
      <w:rFonts w:ascii="Times New Roman" w:eastAsia="新細明體" w:hAnsi="Times New Roman" w:cs="Times New Roman"/>
      <w:sz w:val="20"/>
      <w:szCs w:val="20"/>
    </w:rPr>
  </w:style>
  <w:style w:type="character" w:styleId="af0">
    <w:name w:val="Hyperlink"/>
    <w:basedOn w:val="a0"/>
    <w:rsid w:val="00C16EAD"/>
    <w:rPr>
      <w:color w:val="0000FF"/>
      <w:u w:val="single"/>
    </w:rPr>
  </w:style>
  <w:style w:type="paragraph" w:customStyle="1" w:styleId="af1">
    <w:name w:val="a"/>
    <w:basedOn w:val="a"/>
    <w:rsid w:val="00C16EAD"/>
    <w:pPr>
      <w:snapToGrid w:val="0"/>
      <w:spacing w:afterLines="50"/>
      <w:jc w:val="center"/>
    </w:pPr>
    <w:rPr>
      <w:rFonts w:eastAsia="標楷體"/>
      <w:b/>
      <w:sz w:val="32"/>
      <w:szCs w:val="32"/>
    </w:rPr>
  </w:style>
  <w:style w:type="character" w:customStyle="1" w:styleId="textcontent21">
    <w:name w:val="text_content21"/>
    <w:basedOn w:val="a0"/>
    <w:rsid w:val="00AD2E0A"/>
    <w:rPr>
      <w:strike w:val="0"/>
      <w:dstrike w:val="0"/>
      <w:color w:val="303030"/>
      <w:spacing w:val="45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A5C1E-028E-445B-9043-49ED704A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judy_jen</cp:lastModifiedBy>
  <cp:revision>6</cp:revision>
  <dcterms:created xsi:type="dcterms:W3CDTF">2013-10-25T03:18:00Z</dcterms:created>
  <dcterms:modified xsi:type="dcterms:W3CDTF">2013-12-02T08:38:00Z</dcterms:modified>
</cp:coreProperties>
</file>